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2658" w14:textId="77777777" w:rsidR="009A3E05" w:rsidRDefault="009A3E05" w:rsidP="009A3E05">
      <w:pPr>
        <w:pStyle w:val="Header"/>
      </w:pPr>
      <w:r>
        <w:rPr>
          <w:noProof/>
        </w:rPr>
        <w:drawing>
          <wp:inline distT="0" distB="0" distL="0" distR="0" wp14:anchorId="1E66216B" wp14:editId="4F1CD67E">
            <wp:extent cx="2057400" cy="476740"/>
            <wp:effectExtent l="1905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-print siz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E9A4" w14:textId="77777777" w:rsidR="009A3E05" w:rsidRDefault="009A3E05" w:rsidP="009A3E05">
      <w:pPr>
        <w:pStyle w:val="Header"/>
        <w:jc w:val="center"/>
        <w:rPr>
          <w:b/>
          <w:szCs w:val="26"/>
        </w:rPr>
      </w:pPr>
      <w:r w:rsidRPr="002F6DB8">
        <w:rPr>
          <w:b/>
          <w:szCs w:val="26"/>
        </w:rPr>
        <w:t>MEMORANDUM</w:t>
      </w:r>
    </w:p>
    <w:p w14:paraId="39411318" w14:textId="77777777" w:rsidR="009A3E05" w:rsidRDefault="009A3E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D7553F" w:rsidRPr="002F6DB8" w14:paraId="550B65D9" w14:textId="77777777" w:rsidTr="006B4B23">
        <w:tc>
          <w:tcPr>
            <w:tcW w:w="1638" w:type="dxa"/>
          </w:tcPr>
          <w:p w14:paraId="10864362" w14:textId="77777777" w:rsidR="00D7553F" w:rsidRPr="002F6DB8" w:rsidRDefault="00D7553F" w:rsidP="006B4B23">
            <w:r w:rsidRPr="002F6DB8">
              <w:t>TO:</w:t>
            </w:r>
          </w:p>
          <w:p w14:paraId="09D3BAE8" w14:textId="77777777" w:rsidR="00D7553F" w:rsidRPr="002F6DB8" w:rsidRDefault="00D7553F" w:rsidP="006B4B23"/>
          <w:p w14:paraId="1AB60184" w14:textId="77777777" w:rsidR="00D7553F" w:rsidRPr="002F6DB8" w:rsidRDefault="00D7553F" w:rsidP="006B4B23">
            <w:r w:rsidRPr="002F6DB8">
              <w:t>FROM:</w:t>
            </w:r>
          </w:p>
          <w:p w14:paraId="5364F760" w14:textId="77777777" w:rsidR="00D7553F" w:rsidRPr="002F6DB8" w:rsidRDefault="00D7553F" w:rsidP="006B4B23"/>
          <w:p w14:paraId="6372F038" w14:textId="77777777" w:rsidR="00D7553F" w:rsidRPr="002F6DB8" w:rsidRDefault="00D7553F" w:rsidP="006B4B23">
            <w:r w:rsidRPr="002F6DB8">
              <w:t>DATE:</w:t>
            </w:r>
          </w:p>
          <w:p w14:paraId="4B768616" w14:textId="77777777" w:rsidR="00D7553F" w:rsidRPr="002F6DB8" w:rsidRDefault="00D7553F" w:rsidP="006B4B23"/>
          <w:p w14:paraId="76670B33" w14:textId="77777777" w:rsidR="00D7553F" w:rsidRPr="002F6DB8" w:rsidRDefault="00D7553F" w:rsidP="006B4B23">
            <w:r w:rsidRPr="002F6DB8">
              <w:t>RE:</w:t>
            </w:r>
          </w:p>
          <w:p w14:paraId="6A258AC7" w14:textId="77777777" w:rsidR="00D7553F" w:rsidRPr="002F6DB8" w:rsidRDefault="00D7553F" w:rsidP="006B4B23"/>
        </w:tc>
        <w:tc>
          <w:tcPr>
            <w:tcW w:w="7938" w:type="dxa"/>
          </w:tcPr>
          <w:p w14:paraId="3D49D9D2" w14:textId="77777777" w:rsidR="00D7553F" w:rsidRPr="002F6DB8" w:rsidRDefault="004C2D5C" w:rsidP="006B4B23">
            <w:bookmarkStart w:id="0" w:name="to"/>
            <w:bookmarkEnd w:id="0"/>
            <w:r>
              <w:t>ABA Advisory Board</w:t>
            </w:r>
          </w:p>
          <w:p w14:paraId="55362BD9" w14:textId="77777777" w:rsidR="00D7553F" w:rsidRPr="002F6DB8" w:rsidRDefault="00D7553F" w:rsidP="006B4B23"/>
          <w:p w14:paraId="1A3D0684" w14:textId="77777777" w:rsidR="00D7553F" w:rsidRPr="002F6DB8" w:rsidRDefault="004C2D5C" w:rsidP="006B4B23">
            <w:bookmarkStart w:id="1" w:name="from"/>
            <w:bookmarkEnd w:id="1"/>
            <w:r>
              <w:t>Bern Velasco</w:t>
            </w:r>
          </w:p>
          <w:p w14:paraId="322FB1E6" w14:textId="77777777" w:rsidR="00D7553F" w:rsidRPr="002F6DB8" w:rsidRDefault="00D7553F" w:rsidP="006B4B23"/>
          <w:p w14:paraId="6AC88404" w14:textId="77777777" w:rsidR="00D7553F" w:rsidRDefault="004C2D5C" w:rsidP="006B4B23">
            <w:bookmarkStart w:id="2" w:name="date1"/>
            <w:bookmarkEnd w:id="2"/>
            <w:r>
              <w:t>April 12, 2022</w:t>
            </w:r>
          </w:p>
          <w:p w14:paraId="297D87E3" w14:textId="77777777" w:rsidR="00D7553F" w:rsidRPr="002F6DB8" w:rsidRDefault="00D7553F" w:rsidP="006B4B23"/>
          <w:p w14:paraId="3C5CF40D" w14:textId="77777777" w:rsidR="00D7553F" w:rsidRPr="002F6DB8" w:rsidRDefault="004C2D5C" w:rsidP="006B4B23">
            <w:bookmarkStart w:id="3" w:name="fileno"/>
            <w:bookmarkStart w:id="4" w:name="re"/>
            <w:bookmarkEnd w:id="3"/>
            <w:bookmarkEnd w:id="4"/>
            <w:r>
              <w:t>Legal Update: Terry v. UPS</w:t>
            </w:r>
          </w:p>
        </w:tc>
      </w:tr>
    </w:tbl>
    <w:p w14:paraId="314F087B" w14:textId="77777777" w:rsidR="00D7553F" w:rsidRPr="002F6DB8" w:rsidRDefault="00D7553F" w:rsidP="00D7553F">
      <w:pPr>
        <w:rPr>
          <w:szCs w:val="26"/>
        </w:rPr>
      </w:pPr>
    </w:p>
    <w:p w14:paraId="40051792" w14:textId="5427BA23" w:rsidR="00DD2346" w:rsidRDefault="004C2D5C" w:rsidP="009A3E05">
      <w:pPr>
        <w:spacing w:after="240"/>
        <w:ind w:firstLine="720"/>
      </w:pPr>
      <w:bookmarkStart w:id="5" w:name="OpenAt"/>
      <w:bookmarkEnd w:id="5"/>
      <w:r>
        <w:t xml:space="preserve">On March 31, 2022, the Arizona Court of Appeals decided </w:t>
      </w:r>
      <w:r>
        <w:rPr>
          <w:i/>
          <w:iCs/>
        </w:rPr>
        <w:t>Terry v. United Parcel Service, Inc.</w:t>
      </w:r>
      <w:r>
        <w:t>, in which it decided that the protections of the Arizona Medical Marijuana Act do not prevent an employer from terminating an employee who holds a medical marijuana card and tests positive for marijuana metabolites.</w:t>
      </w:r>
    </w:p>
    <w:p w14:paraId="131CC18F" w14:textId="6D61E34E" w:rsidR="004C2D5C" w:rsidRDefault="004C2D5C" w:rsidP="009A3E05">
      <w:pPr>
        <w:spacing w:after="240"/>
        <w:ind w:firstLine="720"/>
      </w:pPr>
      <w:r>
        <w:t>Terry was a sales director with UPS.  After returning from vacation, Terry acted strangely during a meeting in which he made statements about seeing “a scorpion climbing up a wall,” “a scorpion run[</w:t>
      </w:r>
      <w:proofErr w:type="spellStart"/>
      <w:r>
        <w:t>ning</w:t>
      </w:r>
      <w:proofErr w:type="spellEnd"/>
      <w:r>
        <w:t xml:space="preserve">] across the table,” and </w:t>
      </w:r>
      <w:proofErr w:type="gramStart"/>
      <w:r>
        <w:t>asking</w:t>
      </w:r>
      <w:proofErr w:type="gramEnd"/>
      <w:r>
        <w:t xml:space="preserve"> “Did anyone see that scorpion back there.”  There was no scorpion.  Terry’s speech was also </w:t>
      </w:r>
      <w:proofErr w:type="gramStart"/>
      <w:r>
        <w:t>slurred</w:t>
      </w:r>
      <w:proofErr w:type="gramEnd"/>
      <w:r>
        <w:t xml:space="preserve"> and he was generally incoherent, asking questions repetitively and losing his train of thought.  Terry’s eyelids were </w:t>
      </w:r>
      <w:proofErr w:type="gramStart"/>
      <w:r>
        <w:t>heavy</w:t>
      </w:r>
      <w:proofErr w:type="gramEnd"/>
      <w:r>
        <w:t xml:space="preserve"> and his eyes were red.</w:t>
      </w:r>
    </w:p>
    <w:p w14:paraId="5F5A0E10" w14:textId="6AEF43C3" w:rsidR="004C2D5C" w:rsidRDefault="004C2D5C" w:rsidP="009A3E05">
      <w:pPr>
        <w:spacing w:after="240"/>
        <w:ind w:firstLine="720"/>
      </w:pPr>
      <w:r>
        <w:t>Three employees filed complaints about his behavior and appearance, leading to a drug test that returned positive for carboxy-THC and amphetamine.  Terry then explained he had a medical marijuana card; but UPS fired him anyway.  Terry then filed suit.</w:t>
      </w:r>
    </w:p>
    <w:p w14:paraId="78076FAC" w14:textId="37B71D71" w:rsidR="004C2D5C" w:rsidRDefault="004C2D5C" w:rsidP="009A3E05">
      <w:pPr>
        <w:spacing w:after="240"/>
        <w:ind w:firstLine="720"/>
      </w:pPr>
      <w:r>
        <w:t xml:space="preserve">After a long and convoluted </w:t>
      </w:r>
      <w:r w:rsidR="00DD37C8">
        <w:t>pre-trial process, t</w:t>
      </w:r>
      <w:r>
        <w:t>he trial court</w:t>
      </w:r>
      <w:r w:rsidR="00DD37C8">
        <w:t xml:space="preserve"> granted summary judgment in favor of UPS.  On review, the Court of Appeals affirmed</w:t>
      </w:r>
      <w:r w:rsidR="00A16B34">
        <w:t xml:space="preserve"> on the basis that the Arizona Employee Protection Act allows an employer to terminate at-will employee for good cause or no cause; the only limitation is that termination cannot be for “bad cause.”  </w:t>
      </w:r>
      <w:r w:rsidR="00A16B34">
        <w:rPr>
          <w:i/>
          <w:iCs/>
        </w:rPr>
        <w:t xml:space="preserve">See </w:t>
      </w:r>
      <w:r w:rsidR="00A16B34">
        <w:t>A.R.S. § 23-1501.  Under the Act, bad cause may include (1) breach of an employment contract; (2) in violation of state statute; or (3) in retaliation for exercising specified rights.</w:t>
      </w:r>
    </w:p>
    <w:p w14:paraId="7034F5BD" w14:textId="74A68A8C" w:rsidR="00A16B34" w:rsidRDefault="00A16B34" w:rsidP="009A3E05">
      <w:pPr>
        <w:spacing w:after="240"/>
        <w:ind w:firstLine="720"/>
      </w:pPr>
      <w:r>
        <w:t xml:space="preserve">To prevail, Terry had to show that his termination violated the public policy set forth in the AMMA.  But Terry’s termination was not simply for testing </w:t>
      </w:r>
      <w:proofErr w:type="gramStart"/>
      <w:r>
        <w:t>positive, but</w:t>
      </w:r>
      <w:proofErr w:type="gramEnd"/>
      <w:r>
        <w:t xml:space="preserve"> appearing to be under the influence or impaired while at work.  </w:t>
      </w:r>
    </w:p>
    <w:p w14:paraId="5E82C578" w14:textId="765F0E5E" w:rsidR="00B46DBC" w:rsidRPr="00A16B34" w:rsidRDefault="00B46DBC" w:rsidP="00B46DBC">
      <w:pPr>
        <w:spacing w:after="240"/>
      </w:pPr>
      <w:r>
        <w:tab/>
        <w:t>The case did not discuss the Arizona Drug Testing of Employees Act (related to actions taken in response to false positives).</w:t>
      </w:r>
    </w:p>
    <w:sectPr w:rsidR="00B46DBC" w:rsidRPr="00A16B34" w:rsidSect="002223F5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41F1" w14:textId="77777777" w:rsidR="004C2D5C" w:rsidRDefault="004C2D5C" w:rsidP="00D7553F">
      <w:r>
        <w:separator/>
      </w:r>
    </w:p>
  </w:endnote>
  <w:endnote w:type="continuationSeparator" w:id="0">
    <w:p w14:paraId="3AA9C8D6" w14:textId="77777777" w:rsidR="004C2D5C" w:rsidRDefault="004C2D5C" w:rsidP="00D7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9301" w14:textId="77777777" w:rsidR="004C2D5C" w:rsidRDefault="004C2D5C" w:rsidP="00D7553F">
      <w:r>
        <w:separator/>
      </w:r>
    </w:p>
  </w:footnote>
  <w:footnote w:type="continuationSeparator" w:id="0">
    <w:p w14:paraId="30CF9BCC" w14:textId="77777777" w:rsidR="004C2D5C" w:rsidRDefault="004C2D5C" w:rsidP="00D7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6B95" w14:textId="77777777" w:rsidR="00D7553F" w:rsidRDefault="00D7553F" w:rsidP="00D7553F">
    <w:pPr>
      <w:pStyle w:val="Header"/>
      <w:jc w:val="center"/>
      <w:rPr>
        <w:b/>
        <w:szCs w:val="26"/>
      </w:rPr>
    </w:pPr>
    <w:r w:rsidRPr="002F6DB8">
      <w:rPr>
        <w:b/>
        <w:szCs w:val="26"/>
      </w:rPr>
      <w:t>MEMORANDUM</w:t>
    </w:r>
  </w:p>
  <w:p w14:paraId="1F4BFBE3" w14:textId="77777777" w:rsidR="00D7553F" w:rsidRDefault="00B46DBC" w:rsidP="00B3260A">
    <w:pPr>
      <w:pStyle w:val="Header"/>
      <w:jc w:val="center"/>
    </w:pPr>
    <w:r>
      <w:fldChar w:fldCharType="begin"/>
    </w:r>
    <w:r>
      <w:instrText xml:space="preserve"> DATE  \@ "MMMM d, yyyy"  \* MERGEFORMAT </w:instrText>
    </w:r>
    <w:r>
      <w:fldChar w:fldCharType="separate"/>
    </w:r>
    <w:r w:rsidR="004C2D5C">
      <w:rPr>
        <w:noProof/>
      </w:rPr>
      <w:t>April 12, 2022</w:t>
    </w:r>
    <w:r>
      <w:rPr>
        <w:noProof/>
      </w:rPr>
      <w:fldChar w:fldCharType="end"/>
    </w:r>
  </w:p>
  <w:p w14:paraId="410AF541" w14:textId="77777777" w:rsidR="00B3260A" w:rsidRDefault="00B3260A" w:rsidP="00B3260A">
    <w:pPr>
      <w:pStyle w:val="Header"/>
      <w:jc w:val="center"/>
    </w:pPr>
    <w:r>
      <w:rPr>
        <w:color w:val="7F7F7F" w:themeColor="background1" w:themeShade="7F"/>
        <w:spacing w:val="60"/>
      </w:rPr>
      <w:t>Page</w:t>
    </w:r>
    <w:r>
      <w:t xml:space="preserve"> | </w:t>
    </w:r>
    <w:r w:rsidR="00B46DBC">
      <w:fldChar w:fldCharType="begin"/>
    </w:r>
    <w:r w:rsidR="00B46DBC">
      <w:instrText xml:space="preserve"> PAGE   \* MERGEFORMAT </w:instrText>
    </w:r>
    <w:r w:rsidR="00B46DBC">
      <w:fldChar w:fldCharType="separate"/>
    </w:r>
    <w:r w:rsidR="009A3E05" w:rsidRPr="009A3E05">
      <w:rPr>
        <w:b/>
        <w:noProof/>
      </w:rPr>
      <w:t>2</w:t>
    </w:r>
    <w:r w:rsidR="00B46DBC">
      <w:rPr>
        <w:b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2D5C"/>
    <w:rsid w:val="000B710B"/>
    <w:rsid w:val="00120CEF"/>
    <w:rsid w:val="00161A7F"/>
    <w:rsid w:val="002223F5"/>
    <w:rsid w:val="0026741E"/>
    <w:rsid w:val="002775EB"/>
    <w:rsid w:val="002D463B"/>
    <w:rsid w:val="004C2D5C"/>
    <w:rsid w:val="009A3E05"/>
    <w:rsid w:val="00A16B34"/>
    <w:rsid w:val="00B3260A"/>
    <w:rsid w:val="00B46DBC"/>
    <w:rsid w:val="00D7553F"/>
    <w:rsid w:val="00DD2346"/>
    <w:rsid w:val="00DD37C8"/>
    <w:rsid w:val="00F96AEB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7FED"/>
  <w15:docId w15:val="{2568C14E-CE3A-422E-9C5F-B73DE193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3F"/>
    <w:pPr>
      <w:spacing w:after="0" w:line="240" w:lineRule="auto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53F"/>
    <w:pPr>
      <w:spacing w:after="0" w:line="240" w:lineRule="auto"/>
    </w:pPr>
    <w:rPr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5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53F"/>
    <w:rPr>
      <w:rFonts w:ascii="Times" w:hAnsi="Times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5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53F"/>
    <w:rPr>
      <w:rFonts w:ascii="Times" w:hAnsi="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cr-data01\APPS\word%20templates\macros\Memorandu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35</TotalTime>
  <Pages>1</Pages>
  <Words>314</Words>
  <Characters>1738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 M. Velasco</dc:creator>
  <cp:lastModifiedBy>Bern M. Velasco</cp:lastModifiedBy>
  <cp:revision>2</cp:revision>
  <cp:lastPrinted>2017-02-16T16:53:00Z</cp:lastPrinted>
  <dcterms:created xsi:type="dcterms:W3CDTF">2022-04-12T17:22:00Z</dcterms:created>
  <dcterms:modified xsi:type="dcterms:W3CDTF">2022-04-12T17:57:00Z</dcterms:modified>
</cp:coreProperties>
</file>