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1D1" w:rsidRDefault="000E01D1" w:rsidP="00C16937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Arizona Builders Alliance </w:t>
      </w:r>
    </w:p>
    <w:p w:rsidR="000E01D1" w:rsidRDefault="000E01D1" w:rsidP="00C16937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Legal Report</w:t>
      </w:r>
    </w:p>
    <w:p w:rsidR="00442F62" w:rsidRPr="0066007D" w:rsidRDefault="007E39E4" w:rsidP="00C16937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October </w:t>
      </w:r>
      <w:r w:rsidR="00B6758F">
        <w:rPr>
          <w:rFonts w:asciiTheme="majorHAnsi" w:hAnsiTheme="majorHAnsi" w:cstheme="majorHAnsi"/>
        </w:rPr>
        <w:t>13</w:t>
      </w:r>
      <w:r>
        <w:rPr>
          <w:rFonts w:asciiTheme="majorHAnsi" w:hAnsiTheme="majorHAnsi" w:cstheme="majorHAnsi"/>
        </w:rPr>
        <w:t>, 2021</w:t>
      </w:r>
    </w:p>
    <w:p w:rsidR="003F463D" w:rsidRPr="009B791C" w:rsidRDefault="004100E9" w:rsidP="000E6243">
      <w:pPr>
        <w:rPr>
          <w:b/>
          <w:bCs/>
          <w:color w:val="000000"/>
        </w:rPr>
      </w:pPr>
      <w:r>
        <w:rPr>
          <w:b/>
          <w:bCs/>
          <w:color w:val="000000"/>
        </w:rPr>
        <w:t>COVID-19 Vaccin</w:t>
      </w:r>
      <w:r w:rsidR="008A6FAB">
        <w:rPr>
          <w:b/>
          <w:bCs/>
          <w:color w:val="000000"/>
        </w:rPr>
        <w:t>ation</w:t>
      </w:r>
      <w:r>
        <w:rPr>
          <w:b/>
          <w:bCs/>
          <w:color w:val="000000"/>
        </w:rPr>
        <w:t xml:space="preserve"> Mandate </w:t>
      </w:r>
    </w:p>
    <w:p w:rsidR="000E01D1" w:rsidRDefault="000E01D1" w:rsidP="000E6243">
      <w:pPr>
        <w:rPr>
          <w:color w:val="000000"/>
        </w:rPr>
      </w:pPr>
    </w:p>
    <w:p w:rsidR="004100E9" w:rsidRDefault="004100E9" w:rsidP="004A0F0B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With </w:t>
      </w:r>
      <w:r w:rsidR="000353D3">
        <w:rPr>
          <w:color w:val="000000"/>
        </w:rPr>
        <w:t xml:space="preserve">the </w:t>
      </w:r>
      <w:r w:rsidR="00137370">
        <w:rPr>
          <w:color w:val="000000"/>
        </w:rPr>
        <w:t xml:space="preserve">pandemic </w:t>
      </w:r>
      <w:r w:rsidR="000353D3">
        <w:rPr>
          <w:color w:val="000000"/>
        </w:rPr>
        <w:t>trudging onward in the U.S.</w:t>
      </w:r>
      <w:r w:rsidR="008A6FAB">
        <w:rPr>
          <w:color w:val="000000"/>
        </w:rPr>
        <w:t xml:space="preserve"> and abroad</w:t>
      </w:r>
      <w:r w:rsidR="00137370">
        <w:rPr>
          <w:color w:val="000000"/>
        </w:rPr>
        <w:t xml:space="preserve">, </w:t>
      </w:r>
      <w:r w:rsidR="008A6FAB">
        <w:rPr>
          <w:color w:val="000000"/>
        </w:rPr>
        <w:t xml:space="preserve">several federal entities </w:t>
      </w:r>
      <w:r w:rsidR="00110783">
        <w:rPr>
          <w:color w:val="000000"/>
        </w:rPr>
        <w:t>have</w:t>
      </w:r>
      <w:r w:rsidR="00137370">
        <w:rPr>
          <w:color w:val="000000"/>
        </w:rPr>
        <w:t xml:space="preserve"> </w:t>
      </w:r>
      <w:r w:rsidR="008A6FAB">
        <w:rPr>
          <w:color w:val="000000"/>
        </w:rPr>
        <w:t xml:space="preserve">issued </w:t>
      </w:r>
      <w:r w:rsidR="00137370">
        <w:rPr>
          <w:color w:val="000000"/>
        </w:rPr>
        <w:t xml:space="preserve">guidance </w:t>
      </w:r>
      <w:r w:rsidR="00110783">
        <w:rPr>
          <w:color w:val="000000"/>
        </w:rPr>
        <w:t xml:space="preserve">clarifying </w:t>
      </w:r>
      <w:r w:rsidR="008A6FAB">
        <w:rPr>
          <w:color w:val="000000"/>
        </w:rPr>
        <w:t xml:space="preserve">the </w:t>
      </w:r>
      <w:r w:rsidR="00110783">
        <w:rPr>
          <w:color w:val="000000"/>
        </w:rPr>
        <w:t xml:space="preserve">Biden Administration’s </w:t>
      </w:r>
      <w:r w:rsidR="000353D3">
        <w:rPr>
          <w:color w:val="000000"/>
        </w:rPr>
        <w:t xml:space="preserve">COVID-19 </w:t>
      </w:r>
      <w:r w:rsidR="008A6FAB">
        <w:rPr>
          <w:color w:val="000000"/>
        </w:rPr>
        <w:t>vaccine</w:t>
      </w:r>
      <w:r w:rsidR="00137370">
        <w:rPr>
          <w:color w:val="000000"/>
        </w:rPr>
        <w:t xml:space="preserve"> mandate</w:t>
      </w:r>
      <w:r w:rsidR="008A6FAB">
        <w:rPr>
          <w:color w:val="000000"/>
        </w:rPr>
        <w:t xml:space="preserve"> </w:t>
      </w:r>
      <w:r w:rsidR="00110783">
        <w:rPr>
          <w:color w:val="000000"/>
        </w:rPr>
        <w:t xml:space="preserve">(Executive Order 14042) </w:t>
      </w:r>
      <w:r w:rsidR="00137370">
        <w:rPr>
          <w:color w:val="000000"/>
        </w:rPr>
        <w:t>for federal contractors and subcontractors.</w:t>
      </w:r>
      <w:r w:rsidR="00110783">
        <w:rPr>
          <w:color w:val="000000"/>
        </w:rPr>
        <w:t xml:space="preserve"> Yet, with multiple federal entities handling different aspects</w:t>
      </w:r>
      <w:r w:rsidR="00A822D3">
        <w:rPr>
          <w:color w:val="000000"/>
        </w:rPr>
        <w:t xml:space="preserve"> of implementing the mandate</w:t>
      </w:r>
      <w:r w:rsidR="00110783">
        <w:rPr>
          <w:color w:val="000000"/>
        </w:rPr>
        <w:t xml:space="preserve">, the full scope of </w:t>
      </w:r>
      <w:r w:rsidR="00A822D3">
        <w:rPr>
          <w:color w:val="000000"/>
        </w:rPr>
        <w:t>it</w:t>
      </w:r>
      <w:r w:rsidR="00110783">
        <w:rPr>
          <w:color w:val="000000"/>
        </w:rPr>
        <w:t xml:space="preserve">s reach has remained somewhat nebulous. </w:t>
      </w:r>
      <w:r w:rsidR="000353D3">
        <w:rPr>
          <w:color w:val="000000"/>
        </w:rPr>
        <w:t>Th</w:t>
      </w:r>
      <w:r w:rsidR="00A822D3">
        <w:rPr>
          <w:color w:val="000000"/>
        </w:rPr>
        <w:t>is</w:t>
      </w:r>
      <w:r w:rsidR="00110783">
        <w:rPr>
          <w:color w:val="000000"/>
        </w:rPr>
        <w:t xml:space="preserve"> latest </w:t>
      </w:r>
      <w:r w:rsidR="008A6FAB">
        <w:rPr>
          <w:color w:val="000000"/>
        </w:rPr>
        <w:t>guidance</w:t>
      </w:r>
      <w:r w:rsidR="00110783">
        <w:rPr>
          <w:color w:val="000000"/>
        </w:rPr>
        <w:t xml:space="preserve"> </w:t>
      </w:r>
      <w:r w:rsidR="000353D3">
        <w:rPr>
          <w:color w:val="000000"/>
        </w:rPr>
        <w:t xml:space="preserve">further </w:t>
      </w:r>
      <w:r w:rsidR="008A6FAB">
        <w:rPr>
          <w:color w:val="000000"/>
        </w:rPr>
        <w:t>clarifies its scope i</w:t>
      </w:r>
      <w:r w:rsidR="000353D3">
        <w:rPr>
          <w:color w:val="000000"/>
        </w:rPr>
        <w:t>n several</w:t>
      </w:r>
      <w:r w:rsidR="008A6FAB">
        <w:rPr>
          <w:color w:val="000000"/>
        </w:rPr>
        <w:t>,</w:t>
      </w:r>
      <w:r w:rsidR="000353D3">
        <w:rPr>
          <w:color w:val="000000"/>
        </w:rPr>
        <w:t xml:space="preserve"> perhaps unexpected</w:t>
      </w:r>
      <w:r w:rsidR="008A6FAB">
        <w:rPr>
          <w:color w:val="000000"/>
        </w:rPr>
        <w:t>,</w:t>
      </w:r>
      <w:r w:rsidR="000353D3">
        <w:rPr>
          <w:color w:val="000000"/>
        </w:rPr>
        <w:t xml:space="preserve"> ways: </w:t>
      </w:r>
    </w:p>
    <w:p w:rsidR="00A822D3" w:rsidRPr="00A822D3" w:rsidRDefault="00A822D3" w:rsidP="00A822D3">
      <w:pPr>
        <w:rPr>
          <w:color w:val="000000"/>
        </w:rPr>
      </w:pPr>
    </w:p>
    <w:p w:rsidR="004A0F0B" w:rsidRDefault="004A0F0B" w:rsidP="004A0F0B">
      <w:pPr>
        <w:pStyle w:val="ListParagraph"/>
        <w:numPr>
          <w:ilvl w:val="0"/>
          <w:numId w:val="2"/>
        </w:numPr>
        <w:ind w:left="540" w:hanging="540"/>
        <w:rPr>
          <w:b/>
          <w:bCs/>
          <w:color w:val="000000"/>
        </w:rPr>
      </w:pPr>
      <w:r w:rsidRPr="004A0F0B">
        <w:rPr>
          <w:b/>
          <w:bCs/>
          <w:color w:val="000000"/>
          <w:u w:val="single"/>
        </w:rPr>
        <w:t>Who’s covered</w:t>
      </w:r>
      <w:r>
        <w:rPr>
          <w:b/>
          <w:bCs/>
          <w:color w:val="000000"/>
        </w:rPr>
        <w:t>?</w:t>
      </w:r>
    </w:p>
    <w:p w:rsidR="004A0F0B" w:rsidRDefault="004A0F0B" w:rsidP="00BF553F">
      <w:pPr>
        <w:pStyle w:val="ListParagraph"/>
        <w:numPr>
          <w:ilvl w:val="1"/>
          <w:numId w:val="2"/>
        </w:numPr>
        <w:ind w:left="1080" w:hanging="540"/>
        <w:rPr>
          <w:color w:val="000000"/>
        </w:rPr>
      </w:pPr>
      <w:r>
        <w:rPr>
          <w:color w:val="000000"/>
        </w:rPr>
        <w:t xml:space="preserve">The scope of application remains to be fully determined. </w:t>
      </w:r>
    </w:p>
    <w:p w:rsidR="00282AC2" w:rsidRDefault="00B0695D" w:rsidP="00BF553F">
      <w:pPr>
        <w:pStyle w:val="ListParagraph"/>
        <w:numPr>
          <w:ilvl w:val="1"/>
          <w:numId w:val="2"/>
        </w:numPr>
        <w:ind w:left="1080" w:hanging="540"/>
        <w:rPr>
          <w:color w:val="000000"/>
        </w:rPr>
      </w:pPr>
      <w:r>
        <w:rPr>
          <w:color w:val="000000"/>
        </w:rPr>
        <w:t xml:space="preserve">Applies at present to federal contracts valued at more than $250,000 in most cases. </w:t>
      </w:r>
    </w:p>
    <w:p w:rsidR="00B0695D" w:rsidRDefault="00B0695D" w:rsidP="00BF553F">
      <w:pPr>
        <w:pStyle w:val="ListParagraph"/>
        <w:numPr>
          <w:ilvl w:val="2"/>
          <w:numId w:val="2"/>
        </w:numPr>
        <w:ind w:left="1620" w:hanging="540"/>
        <w:rPr>
          <w:color w:val="000000"/>
        </w:rPr>
      </w:pPr>
      <w:r>
        <w:rPr>
          <w:color w:val="000000"/>
        </w:rPr>
        <w:t xml:space="preserve">Federal agencies are being encouraged to expand the requirements to include smaller contracts. </w:t>
      </w:r>
    </w:p>
    <w:p w:rsidR="004A0F0B" w:rsidRPr="004A0F0B" w:rsidRDefault="004A0F0B" w:rsidP="00BF553F">
      <w:pPr>
        <w:pStyle w:val="ListParagraph"/>
        <w:numPr>
          <w:ilvl w:val="1"/>
          <w:numId w:val="2"/>
        </w:numPr>
        <w:ind w:left="1080" w:hanging="540"/>
        <w:rPr>
          <w:color w:val="000000"/>
        </w:rPr>
      </w:pPr>
      <w:r w:rsidRPr="004A0F0B">
        <w:rPr>
          <w:color w:val="000000"/>
        </w:rPr>
        <w:t>Does not apply to non-acquisition contracts (i.e. federal grant funded projects or those contracted through state/local governments with partial federal assistance).</w:t>
      </w:r>
    </w:p>
    <w:p w:rsidR="004A0F0B" w:rsidRDefault="004A0F0B" w:rsidP="004A0F0B">
      <w:pPr>
        <w:pStyle w:val="ListParagraph"/>
        <w:ind w:left="540"/>
        <w:rPr>
          <w:b/>
          <w:bCs/>
          <w:color w:val="000000"/>
        </w:rPr>
      </w:pPr>
    </w:p>
    <w:p w:rsidR="00A822D3" w:rsidRPr="00F54D37" w:rsidRDefault="00F54D37" w:rsidP="004A0F0B">
      <w:pPr>
        <w:pStyle w:val="ListParagraph"/>
        <w:numPr>
          <w:ilvl w:val="0"/>
          <w:numId w:val="2"/>
        </w:numPr>
        <w:ind w:left="540" w:hanging="540"/>
        <w:rPr>
          <w:b/>
          <w:bCs/>
          <w:color w:val="000000"/>
        </w:rPr>
      </w:pPr>
      <w:r w:rsidRPr="004A0F0B">
        <w:rPr>
          <w:b/>
          <w:bCs/>
          <w:color w:val="000000"/>
          <w:u w:val="single"/>
        </w:rPr>
        <w:t>What’s required</w:t>
      </w:r>
      <w:r>
        <w:rPr>
          <w:b/>
          <w:bCs/>
          <w:color w:val="000000"/>
        </w:rPr>
        <w:t xml:space="preserve">? </w:t>
      </w:r>
    </w:p>
    <w:p w:rsidR="00F8748F" w:rsidRDefault="004A0F0B" w:rsidP="00BF553F">
      <w:pPr>
        <w:pStyle w:val="ListParagraph"/>
        <w:numPr>
          <w:ilvl w:val="1"/>
          <w:numId w:val="2"/>
        </w:numPr>
        <w:ind w:left="1080" w:hanging="540"/>
        <w:rPr>
          <w:color w:val="000000"/>
        </w:rPr>
      </w:pPr>
      <w:r>
        <w:rPr>
          <w:color w:val="000000"/>
        </w:rPr>
        <w:t>A</w:t>
      </w:r>
      <w:r w:rsidR="00F513FE">
        <w:rPr>
          <w:color w:val="000000"/>
        </w:rPr>
        <w:t xml:space="preserve">ll full- or part-time employees of </w:t>
      </w:r>
      <w:r w:rsidR="00F54D37">
        <w:rPr>
          <w:color w:val="000000"/>
        </w:rPr>
        <w:t>federal contractor</w:t>
      </w:r>
      <w:r w:rsidR="00F513FE">
        <w:rPr>
          <w:color w:val="000000"/>
        </w:rPr>
        <w:t xml:space="preserve">s </w:t>
      </w:r>
      <w:r>
        <w:rPr>
          <w:color w:val="000000"/>
        </w:rPr>
        <w:t xml:space="preserve">working in connection with a federal project </w:t>
      </w:r>
      <w:r w:rsidR="00F54D37">
        <w:rPr>
          <w:color w:val="000000"/>
        </w:rPr>
        <w:t xml:space="preserve">need to be vaccinated </w:t>
      </w:r>
      <w:r>
        <w:rPr>
          <w:color w:val="000000"/>
        </w:rPr>
        <w:t xml:space="preserve">by </w:t>
      </w:r>
      <w:r w:rsidR="00F54D37">
        <w:rPr>
          <w:color w:val="000000"/>
        </w:rPr>
        <w:t>as early as December 8.</w:t>
      </w:r>
    </w:p>
    <w:p w:rsidR="004A0F0B" w:rsidRDefault="00B0695D" w:rsidP="00BF553F">
      <w:pPr>
        <w:pStyle w:val="ListParagraph"/>
        <w:numPr>
          <w:ilvl w:val="2"/>
          <w:numId w:val="2"/>
        </w:numPr>
        <w:ind w:left="1620" w:hanging="540"/>
        <w:rPr>
          <w:color w:val="000000"/>
        </w:rPr>
      </w:pPr>
      <w:r>
        <w:rPr>
          <w:color w:val="000000"/>
        </w:rPr>
        <w:t>Includes</w:t>
      </w:r>
      <w:r w:rsidR="007C1A0A">
        <w:rPr>
          <w:color w:val="000000"/>
        </w:rPr>
        <w:t xml:space="preserve"> </w:t>
      </w:r>
      <w:r w:rsidR="004A0F0B">
        <w:rPr>
          <w:color w:val="000000"/>
        </w:rPr>
        <w:t xml:space="preserve">all workers involved </w:t>
      </w:r>
      <w:r>
        <w:rPr>
          <w:color w:val="000000"/>
        </w:rPr>
        <w:t xml:space="preserve">with federal </w:t>
      </w:r>
      <w:r w:rsidR="004A0F0B">
        <w:rPr>
          <w:color w:val="000000"/>
        </w:rPr>
        <w:t>contracts, including support staff</w:t>
      </w:r>
      <w:r>
        <w:rPr>
          <w:color w:val="000000"/>
        </w:rPr>
        <w:t xml:space="preserve">, </w:t>
      </w:r>
      <w:r w:rsidR="004A0F0B">
        <w:rPr>
          <w:color w:val="000000"/>
        </w:rPr>
        <w:t>human resource</w:t>
      </w:r>
      <w:r>
        <w:rPr>
          <w:color w:val="000000"/>
        </w:rPr>
        <w:t>s,</w:t>
      </w:r>
      <w:r w:rsidR="004A0F0B">
        <w:rPr>
          <w:color w:val="000000"/>
        </w:rPr>
        <w:t xml:space="preserve"> and remote workers. </w:t>
      </w:r>
    </w:p>
    <w:p w:rsidR="007C1A0A" w:rsidRDefault="004A0F0B" w:rsidP="00BF553F">
      <w:pPr>
        <w:pStyle w:val="ListParagraph"/>
        <w:numPr>
          <w:ilvl w:val="2"/>
          <w:numId w:val="2"/>
        </w:numPr>
        <w:ind w:left="1620" w:hanging="540"/>
        <w:rPr>
          <w:color w:val="000000"/>
        </w:rPr>
      </w:pPr>
      <w:r>
        <w:rPr>
          <w:color w:val="000000"/>
        </w:rPr>
        <w:t>Even extends</w:t>
      </w:r>
      <w:r w:rsidR="007C1A0A">
        <w:rPr>
          <w:color w:val="000000"/>
        </w:rPr>
        <w:t xml:space="preserve"> those employees NOT working on or </w:t>
      </w:r>
      <w:r>
        <w:rPr>
          <w:color w:val="000000"/>
        </w:rPr>
        <w:t>in connection with</w:t>
      </w:r>
      <w:r w:rsidR="007C1A0A">
        <w:rPr>
          <w:color w:val="000000"/>
        </w:rPr>
        <w:t xml:space="preserve"> a federal jobsite that may have incidental contact with other employees </w:t>
      </w:r>
      <w:r w:rsidR="00B0695D">
        <w:rPr>
          <w:color w:val="000000"/>
        </w:rPr>
        <w:t>who</w:t>
      </w:r>
      <w:r w:rsidR="007C1A0A">
        <w:rPr>
          <w:color w:val="000000"/>
        </w:rPr>
        <w:t xml:space="preserve"> are.</w:t>
      </w:r>
    </w:p>
    <w:p w:rsidR="00F513FE" w:rsidRDefault="00F513FE" w:rsidP="00BF553F">
      <w:pPr>
        <w:pStyle w:val="ListParagraph"/>
        <w:numPr>
          <w:ilvl w:val="1"/>
          <w:numId w:val="2"/>
        </w:numPr>
        <w:ind w:left="1080" w:hanging="540"/>
        <w:rPr>
          <w:color w:val="000000"/>
        </w:rPr>
      </w:pPr>
      <w:r>
        <w:rPr>
          <w:color w:val="000000"/>
        </w:rPr>
        <w:t xml:space="preserve">Masks and physical distancing </w:t>
      </w:r>
      <w:r w:rsidR="00B668A8">
        <w:rPr>
          <w:color w:val="000000"/>
        </w:rPr>
        <w:t xml:space="preserve">requirements </w:t>
      </w:r>
      <w:r w:rsidR="007C1A0A">
        <w:rPr>
          <w:color w:val="000000"/>
        </w:rPr>
        <w:t>for visitors</w:t>
      </w:r>
      <w:r w:rsidR="00B668A8">
        <w:rPr>
          <w:color w:val="000000"/>
        </w:rPr>
        <w:t>/</w:t>
      </w:r>
      <w:r w:rsidR="007C1A0A">
        <w:rPr>
          <w:color w:val="000000"/>
        </w:rPr>
        <w:t>employees</w:t>
      </w:r>
      <w:r w:rsidR="007A7A1D">
        <w:rPr>
          <w:color w:val="000000"/>
        </w:rPr>
        <w:t xml:space="preserve"> per CDC guidance</w:t>
      </w:r>
      <w:r w:rsidR="007C1A0A">
        <w:rPr>
          <w:color w:val="000000"/>
        </w:rPr>
        <w:t>.</w:t>
      </w:r>
    </w:p>
    <w:p w:rsidR="00F54D37" w:rsidRPr="007C1A0A" w:rsidRDefault="00282AC2" w:rsidP="00BF553F">
      <w:pPr>
        <w:pStyle w:val="ListParagraph"/>
        <w:numPr>
          <w:ilvl w:val="1"/>
          <w:numId w:val="2"/>
        </w:numPr>
        <w:ind w:left="1080" w:hanging="540"/>
        <w:rPr>
          <w:color w:val="000000"/>
        </w:rPr>
      </w:pPr>
      <w:r>
        <w:rPr>
          <w:color w:val="000000"/>
        </w:rPr>
        <w:t>Designated</w:t>
      </w:r>
      <w:r w:rsidR="00F513FE">
        <w:rPr>
          <w:color w:val="000000"/>
        </w:rPr>
        <w:t xml:space="preserve"> employee</w:t>
      </w:r>
      <w:r w:rsidR="007C1A0A">
        <w:rPr>
          <w:color w:val="000000"/>
        </w:rPr>
        <w:t>(s)</w:t>
      </w:r>
      <w:r w:rsidR="00F513FE">
        <w:rPr>
          <w:color w:val="000000"/>
        </w:rPr>
        <w:t xml:space="preserve"> to coordinate compliance </w:t>
      </w:r>
      <w:r w:rsidR="004A0F0B">
        <w:rPr>
          <w:color w:val="000000"/>
        </w:rPr>
        <w:t xml:space="preserve">on </w:t>
      </w:r>
      <w:r w:rsidR="00F513FE">
        <w:rPr>
          <w:color w:val="000000"/>
        </w:rPr>
        <w:t xml:space="preserve">jobsites. </w:t>
      </w:r>
    </w:p>
    <w:p w:rsidR="00F54D37" w:rsidRPr="00F54D37" w:rsidRDefault="00F54D37" w:rsidP="005A7053">
      <w:pPr>
        <w:jc w:val="both"/>
        <w:rPr>
          <w:b/>
          <w:bCs/>
          <w:color w:val="000000"/>
        </w:rPr>
      </w:pPr>
      <w:r w:rsidRPr="00F54D37">
        <w:rPr>
          <w:b/>
          <w:bCs/>
          <w:color w:val="000000"/>
        </w:rPr>
        <w:t xml:space="preserve"> </w:t>
      </w:r>
    </w:p>
    <w:p w:rsidR="00F54D37" w:rsidRPr="00F54D37" w:rsidRDefault="00F54D37" w:rsidP="004A0F0B">
      <w:pPr>
        <w:pStyle w:val="ListParagraph"/>
        <w:numPr>
          <w:ilvl w:val="0"/>
          <w:numId w:val="2"/>
        </w:numPr>
        <w:ind w:left="540" w:hanging="540"/>
        <w:rPr>
          <w:b/>
          <w:bCs/>
          <w:color w:val="000000"/>
        </w:rPr>
      </w:pPr>
      <w:r w:rsidRPr="004A0F0B">
        <w:rPr>
          <w:b/>
          <w:bCs/>
          <w:color w:val="000000"/>
          <w:u w:val="single"/>
        </w:rPr>
        <w:t>Risks of non-compliance</w:t>
      </w:r>
      <w:r>
        <w:rPr>
          <w:b/>
          <w:bCs/>
          <w:color w:val="000000"/>
        </w:rPr>
        <w:t>?</w:t>
      </w:r>
    </w:p>
    <w:p w:rsidR="00B0695D" w:rsidRDefault="00F513FE" w:rsidP="007C1A0A">
      <w:pPr>
        <w:pStyle w:val="ListParagraph"/>
        <w:numPr>
          <w:ilvl w:val="1"/>
          <w:numId w:val="2"/>
        </w:numPr>
        <w:ind w:left="1080" w:hanging="540"/>
        <w:rPr>
          <w:color w:val="000000"/>
        </w:rPr>
      </w:pPr>
      <w:r>
        <w:rPr>
          <w:color w:val="000000"/>
        </w:rPr>
        <w:t>C</w:t>
      </w:r>
      <w:r w:rsidR="00A822D3">
        <w:rPr>
          <w:color w:val="000000"/>
        </w:rPr>
        <w:t>ancelled contracts</w:t>
      </w:r>
      <w:r w:rsidR="00B0695D">
        <w:rPr>
          <w:color w:val="000000"/>
        </w:rPr>
        <w:t>.</w:t>
      </w:r>
      <w:r w:rsidR="00A822D3">
        <w:rPr>
          <w:color w:val="000000"/>
        </w:rPr>
        <w:t xml:space="preserve"> </w:t>
      </w:r>
    </w:p>
    <w:p w:rsidR="007C1A0A" w:rsidRDefault="007A7A1D" w:rsidP="007C1A0A">
      <w:pPr>
        <w:pStyle w:val="ListParagraph"/>
        <w:numPr>
          <w:ilvl w:val="1"/>
          <w:numId w:val="2"/>
        </w:numPr>
        <w:ind w:left="1080" w:hanging="540"/>
        <w:rPr>
          <w:color w:val="000000"/>
        </w:rPr>
      </w:pPr>
      <w:r>
        <w:rPr>
          <w:color w:val="000000"/>
        </w:rPr>
        <w:t>L</w:t>
      </w:r>
      <w:r w:rsidR="00B0695D">
        <w:rPr>
          <w:color w:val="000000"/>
        </w:rPr>
        <w:t>iability</w:t>
      </w:r>
      <w:r w:rsidR="00A822D3">
        <w:rPr>
          <w:color w:val="000000"/>
        </w:rPr>
        <w:t xml:space="preserve"> </w:t>
      </w:r>
      <w:r>
        <w:rPr>
          <w:color w:val="000000"/>
        </w:rPr>
        <w:t xml:space="preserve">for false or fraudulent attestations of compliance </w:t>
      </w:r>
      <w:r w:rsidR="00A822D3">
        <w:rPr>
          <w:color w:val="000000"/>
        </w:rPr>
        <w:t xml:space="preserve">under the False Claims Act. </w:t>
      </w:r>
    </w:p>
    <w:p w:rsidR="007A7A1D" w:rsidRDefault="007A7A1D" w:rsidP="007C1A0A">
      <w:pPr>
        <w:pStyle w:val="ListParagraph"/>
        <w:ind w:left="630"/>
        <w:rPr>
          <w:color w:val="000000"/>
        </w:rPr>
      </w:pPr>
    </w:p>
    <w:p w:rsidR="007A7A1D" w:rsidRDefault="007A7A1D" w:rsidP="007C1A0A">
      <w:pPr>
        <w:pStyle w:val="ListParagraph"/>
        <w:ind w:left="630"/>
        <w:rPr>
          <w:color w:val="000000"/>
        </w:rPr>
      </w:pPr>
    </w:p>
    <w:p w:rsidR="00B6758F" w:rsidRDefault="00B6758F" w:rsidP="004A0F0B">
      <w:pPr>
        <w:pStyle w:val="ListParagraph"/>
        <w:numPr>
          <w:ilvl w:val="0"/>
          <w:numId w:val="2"/>
        </w:numPr>
        <w:ind w:left="540" w:hanging="540"/>
        <w:rPr>
          <w:b/>
          <w:bCs/>
          <w:color w:val="000000"/>
        </w:rPr>
      </w:pPr>
      <w:r w:rsidRPr="002A6DA1">
        <w:rPr>
          <w:b/>
          <w:bCs/>
          <w:color w:val="000000"/>
          <w:u w:val="single"/>
        </w:rPr>
        <w:lastRenderedPageBreak/>
        <w:t>What can contractors do</w:t>
      </w:r>
      <w:r>
        <w:rPr>
          <w:b/>
          <w:bCs/>
          <w:color w:val="000000"/>
        </w:rPr>
        <w:t>?</w:t>
      </w:r>
    </w:p>
    <w:p w:rsidR="00B6758F" w:rsidRPr="00B6758F" w:rsidRDefault="00B6758F" w:rsidP="00B6758F">
      <w:pPr>
        <w:pStyle w:val="ListParagraph"/>
        <w:numPr>
          <w:ilvl w:val="1"/>
          <w:numId w:val="2"/>
        </w:numPr>
        <w:rPr>
          <w:b/>
          <w:bCs/>
          <w:color w:val="000000"/>
        </w:rPr>
      </w:pPr>
      <w:r>
        <w:rPr>
          <w:color w:val="000000"/>
        </w:rPr>
        <w:t>Review your contract – as a change in law, a claim for additional time and/or money may be made</w:t>
      </w:r>
    </w:p>
    <w:p w:rsidR="00B6758F" w:rsidRPr="00B6758F" w:rsidRDefault="00B6758F" w:rsidP="00B6758F">
      <w:pPr>
        <w:pStyle w:val="ListParagraph"/>
        <w:numPr>
          <w:ilvl w:val="1"/>
          <w:numId w:val="2"/>
        </w:numPr>
        <w:rPr>
          <w:b/>
          <w:bCs/>
          <w:color w:val="000000"/>
        </w:rPr>
      </w:pPr>
      <w:r>
        <w:rPr>
          <w:color w:val="000000"/>
        </w:rPr>
        <w:t>Because this is not a force majeure event, but rather an Owner-driven change (for federal contracts), a contractor may be able to recover for delay caused by such change</w:t>
      </w:r>
    </w:p>
    <w:p w:rsidR="00B6758F" w:rsidRPr="00B6758F" w:rsidRDefault="00B6758F" w:rsidP="00B6758F">
      <w:pPr>
        <w:pStyle w:val="ListParagraph"/>
        <w:ind w:left="1440"/>
        <w:rPr>
          <w:b/>
          <w:bCs/>
          <w:color w:val="000000"/>
        </w:rPr>
      </w:pPr>
    </w:p>
    <w:p w:rsidR="007C1A0A" w:rsidRDefault="00B0695D" w:rsidP="004A0F0B">
      <w:pPr>
        <w:pStyle w:val="ListParagraph"/>
        <w:numPr>
          <w:ilvl w:val="0"/>
          <w:numId w:val="2"/>
        </w:numPr>
        <w:ind w:left="540" w:hanging="540"/>
        <w:rPr>
          <w:b/>
          <w:bCs/>
          <w:color w:val="000000"/>
        </w:rPr>
      </w:pPr>
      <w:r w:rsidRPr="00E04EDC">
        <w:rPr>
          <w:b/>
          <w:bCs/>
          <w:color w:val="000000"/>
          <w:u w:val="single"/>
        </w:rPr>
        <w:t>What’s next</w:t>
      </w:r>
      <w:r w:rsidR="007C1A0A" w:rsidRPr="007C1A0A">
        <w:rPr>
          <w:b/>
          <w:bCs/>
          <w:color w:val="000000"/>
        </w:rPr>
        <w:t>?</w:t>
      </w:r>
    </w:p>
    <w:p w:rsidR="004A0F0B" w:rsidRPr="00B0695D" w:rsidRDefault="00B0695D" w:rsidP="00BF553F">
      <w:pPr>
        <w:pStyle w:val="ListParagraph"/>
        <w:numPr>
          <w:ilvl w:val="1"/>
          <w:numId w:val="2"/>
        </w:numPr>
        <w:ind w:left="1080" w:hanging="540"/>
        <w:rPr>
          <w:b/>
          <w:bCs/>
          <w:color w:val="000000"/>
        </w:rPr>
      </w:pPr>
      <w:r>
        <w:rPr>
          <w:color w:val="000000"/>
        </w:rPr>
        <w:t xml:space="preserve">Clauses reflecting these mandate requirements expected to appear in new contracts by or before November 14. </w:t>
      </w:r>
    </w:p>
    <w:p w:rsidR="00B0695D" w:rsidRPr="00B0695D" w:rsidRDefault="00B0695D" w:rsidP="00BF553F">
      <w:pPr>
        <w:pStyle w:val="ListParagraph"/>
        <w:numPr>
          <w:ilvl w:val="1"/>
          <w:numId w:val="2"/>
        </w:numPr>
        <w:ind w:left="1080" w:hanging="540"/>
        <w:rPr>
          <w:b/>
          <w:bCs/>
          <w:color w:val="000000"/>
        </w:rPr>
      </w:pPr>
      <w:r>
        <w:rPr>
          <w:color w:val="000000"/>
        </w:rPr>
        <w:t>How</w:t>
      </w:r>
      <w:r w:rsidR="003415AD">
        <w:rPr>
          <w:color w:val="000000"/>
        </w:rPr>
        <w:t>/</w:t>
      </w:r>
      <w:r>
        <w:rPr>
          <w:color w:val="000000"/>
        </w:rPr>
        <w:t xml:space="preserve">when such clause will be </w:t>
      </w:r>
      <w:r w:rsidR="007A7A1D">
        <w:rPr>
          <w:color w:val="000000"/>
        </w:rPr>
        <w:t>added</w:t>
      </w:r>
      <w:r>
        <w:rPr>
          <w:color w:val="000000"/>
        </w:rPr>
        <w:t xml:space="preserve"> into existing contracts is yet unclear. </w:t>
      </w:r>
    </w:p>
    <w:p w:rsidR="00C67F5C" w:rsidRPr="00C67F5C" w:rsidRDefault="00C67F5C" w:rsidP="00BF553F">
      <w:pPr>
        <w:pStyle w:val="ListParagraph"/>
        <w:numPr>
          <w:ilvl w:val="1"/>
          <w:numId w:val="2"/>
        </w:numPr>
        <w:ind w:left="1080" w:hanging="540"/>
        <w:rPr>
          <w:b/>
          <w:bCs/>
          <w:color w:val="000000"/>
        </w:rPr>
      </w:pPr>
      <w:r>
        <w:rPr>
          <w:color w:val="000000"/>
        </w:rPr>
        <w:t xml:space="preserve">With these mandates looming, contractors and subs should </w:t>
      </w:r>
      <w:r w:rsidR="00B0695D">
        <w:rPr>
          <w:color w:val="000000"/>
        </w:rPr>
        <w:t xml:space="preserve">take </w:t>
      </w:r>
      <w:r>
        <w:rPr>
          <w:color w:val="000000"/>
        </w:rPr>
        <w:t xml:space="preserve">preemptive steps to minimize disruption and impact as soon as possible. </w:t>
      </w:r>
    </w:p>
    <w:p w:rsidR="00C67F5C" w:rsidRDefault="00C67F5C" w:rsidP="00C67F5C">
      <w:pPr>
        <w:rPr>
          <w:b/>
          <w:bCs/>
          <w:color w:val="000000"/>
        </w:rPr>
      </w:pPr>
    </w:p>
    <w:p w:rsidR="00E04EDC" w:rsidRDefault="00C67F5C" w:rsidP="005A7053">
      <w:pPr>
        <w:ind w:firstLine="720"/>
        <w:jc w:val="both"/>
        <w:rPr>
          <w:color w:val="000000"/>
        </w:rPr>
      </w:pPr>
      <w:r>
        <w:rPr>
          <w:color w:val="000000"/>
        </w:rPr>
        <w:t>The impacts of these mandates are si</w:t>
      </w:r>
      <w:r w:rsidR="00B1798C">
        <w:rPr>
          <w:color w:val="000000"/>
        </w:rPr>
        <w:t xml:space="preserve">gnificant </w:t>
      </w:r>
      <w:r>
        <w:rPr>
          <w:color w:val="000000"/>
        </w:rPr>
        <w:t>for federal contractors and subs and unlikely to disappear without consequence.</w:t>
      </w:r>
      <w:r w:rsidR="003415AD">
        <w:rPr>
          <w:color w:val="000000"/>
        </w:rPr>
        <w:t xml:space="preserve"> Those o</w:t>
      </w:r>
      <w:r w:rsidR="00B1798C">
        <w:rPr>
          <w:color w:val="000000"/>
        </w:rPr>
        <w:t xml:space="preserve">rganizations </w:t>
      </w:r>
      <w:r w:rsidR="003415AD">
        <w:rPr>
          <w:color w:val="000000"/>
        </w:rPr>
        <w:t xml:space="preserve">likely to be affected </w:t>
      </w:r>
      <w:r>
        <w:rPr>
          <w:color w:val="000000"/>
        </w:rPr>
        <w:t xml:space="preserve">should begin preparing a strategy and plan for compliance </w:t>
      </w:r>
      <w:r w:rsidR="00B1798C">
        <w:rPr>
          <w:color w:val="000000"/>
        </w:rPr>
        <w:t>as soon as possible</w:t>
      </w:r>
      <w:r>
        <w:rPr>
          <w:color w:val="000000"/>
        </w:rPr>
        <w:t>.</w:t>
      </w:r>
      <w:r w:rsidR="00221112">
        <w:rPr>
          <w:color w:val="000000"/>
        </w:rPr>
        <w:t xml:space="preserve"> </w:t>
      </w:r>
      <w:r w:rsidR="003415AD">
        <w:rPr>
          <w:color w:val="000000"/>
        </w:rPr>
        <w:t>F</w:t>
      </w:r>
      <w:r w:rsidR="00221112">
        <w:rPr>
          <w:color w:val="000000"/>
        </w:rPr>
        <w:t xml:space="preserve">urther </w:t>
      </w:r>
      <w:r w:rsidR="003415AD">
        <w:rPr>
          <w:color w:val="000000"/>
        </w:rPr>
        <w:t xml:space="preserve">information and details are </w:t>
      </w:r>
      <w:r w:rsidR="00221112">
        <w:rPr>
          <w:color w:val="000000"/>
        </w:rPr>
        <w:t>available from the Safer Federal Work Force Task Force and other sources.</w:t>
      </w:r>
      <w:r w:rsidR="00221112" w:rsidRPr="00221112">
        <w:rPr>
          <w:rStyle w:val="FootnoteReference"/>
          <w:color w:val="000000"/>
        </w:rPr>
        <w:t xml:space="preserve"> </w:t>
      </w:r>
      <w:r w:rsidR="00221112">
        <w:rPr>
          <w:rStyle w:val="FootnoteReference"/>
          <w:color w:val="000000"/>
        </w:rPr>
        <w:footnoteReference w:id="1"/>
      </w:r>
      <w:r w:rsidR="00221112">
        <w:rPr>
          <w:color w:val="000000"/>
        </w:rPr>
        <w:t xml:space="preserve"> </w:t>
      </w:r>
      <w:r w:rsidR="00221112">
        <w:rPr>
          <w:rStyle w:val="FootnoteReference"/>
          <w:color w:val="000000"/>
        </w:rPr>
        <w:footnoteReference w:id="2"/>
      </w:r>
      <w:r w:rsidR="00221112">
        <w:rPr>
          <w:color w:val="000000"/>
        </w:rPr>
        <w:t xml:space="preserve"> </w:t>
      </w:r>
      <w:r w:rsidR="00221112">
        <w:rPr>
          <w:rStyle w:val="FootnoteReference"/>
          <w:color w:val="000000"/>
        </w:rPr>
        <w:footnoteReference w:id="3"/>
      </w:r>
      <w:r w:rsidR="00221112">
        <w:rPr>
          <w:color w:val="000000"/>
        </w:rPr>
        <w:t xml:space="preserve"> </w:t>
      </w:r>
    </w:p>
    <w:p w:rsidR="00436019" w:rsidRDefault="00436019" w:rsidP="005A7053">
      <w:pPr>
        <w:ind w:firstLine="720"/>
        <w:jc w:val="both"/>
        <w:rPr>
          <w:color w:val="000000"/>
        </w:rPr>
      </w:pPr>
    </w:p>
    <w:p w:rsidR="00C67F5C" w:rsidRPr="00C67F5C" w:rsidRDefault="00C67F5C" w:rsidP="005A705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For questions or further information, feel free to reach out to your trusted </w:t>
      </w:r>
      <w:r w:rsidR="00B1798C">
        <w:rPr>
          <w:color w:val="000000"/>
        </w:rPr>
        <w:t xml:space="preserve">legal </w:t>
      </w:r>
      <w:r>
        <w:rPr>
          <w:color w:val="000000"/>
        </w:rPr>
        <w:t xml:space="preserve">representatives at Farhang &amp; Medcoff. </w:t>
      </w:r>
    </w:p>
    <w:sectPr w:rsidR="00C67F5C" w:rsidRPr="00C67F5C" w:rsidSect="002F7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864" w:footer="576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37B" w:rsidRDefault="002E637B" w:rsidP="004B358E">
      <w:r>
        <w:separator/>
      </w:r>
    </w:p>
  </w:endnote>
  <w:endnote w:type="continuationSeparator" w:id="0">
    <w:p w:rsidR="002E637B" w:rsidRDefault="002E637B" w:rsidP="004B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F0B" w:rsidRDefault="004A0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76F" w:rsidRPr="0016276F" w:rsidRDefault="00436019" w:rsidP="0016276F">
    <w:pPr>
      <w:pStyle w:val="Footer"/>
    </w:pPr>
    <w:r w:rsidRPr="00436019">
      <w:rPr>
        <w:noProof/>
        <w:vanish/>
        <w:sz w:val="16"/>
      </w:rPr>
      <w:t>{</w:t>
    </w:r>
    <w:r w:rsidRPr="00436019">
      <w:rPr>
        <w:noProof/>
        <w:sz w:val="16"/>
      </w:rPr>
      <w:t>00830391.1</w:t>
    </w:r>
    <w:r w:rsidRPr="00436019">
      <w:rPr>
        <w:noProof/>
        <w:vanish/>
        <w:sz w:val="16"/>
      </w:rPr>
      <w:t>}</w:t>
    </w:r>
    <w:r w:rsidR="001627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76F" w:rsidRPr="0016276F" w:rsidRDefault="00436019" w:rsidP="0016276F">
    <w:pPr>
      <w:pStyle w:val="Footer"/>
    </w:pPr>
    <w:r w:rsidRPr="00436019">
      <w:rPr>
        <w:noProof/>
        <w:vanish/>
        <w:sz w:val="16"/>
      </w:rPr>
      <w:t>{</w:t>
    </w:r>
    <w:r w:rsidRPr="00436019">
      <w:rPr>
        <w:noProof/>
        <w:sz w:val="16"/>
      </w:rPr>
      <w:t>00830391.1</w:t>
    </w:r>
    <w:r w:rsidRPr="00436019">
      <w:rPr>
        <w:noProof/>
        <w:vanish/>
        <w:sz w:val="16"/>
      </w:rPr>
      <w:t>}</w:t>
    </w:r>
    <w:r w:rsidR="0016276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37B" w:rsidRDefault="002E637B" w:rsidP="004B358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2E637B" w:rsidRDefault="002E637B" w:rsidP="004B358E">
      <w:r>
        <w:continuationSeparator/>
      </w:r>
    </w:p>
  </w:footnote>
  <w:footnote w:id="1">
    <w:p w:rsidR="00221112" w:rsidRDefault="00221112" w:rsidP="002211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54D37">
          <w:rPr>
            <w:rStyle w:val="Hyperlink"/>
          </w:rPr>
          <w:t>https://www.saferfederalworkforce.gov</w:t>
        </w:r>
      </w:hyperlink>
      <w:r>
        <w:t xml:space="preserve"> </w:t>
      </w:r>
    </w:p>
  </w:footnote>
  <w:footnote w:id="2">
    <w:p w:rsidR="00221112" w:rsidRDefault="002211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B0464">
          <w:rPr>
            <w:rStyle w:val="Hyperlink"/>
          </w:rPr>
          <w:t>https://www.saferfederalworkforce.gov/faq/contractors/</w:t>
        </w:r>
      </w:hyperlink>
      <w:r>
        <w:t xml:space="preserve"> </w:t>
      </w:r>
    </w:p>
  </w:footnote>
  <w:footnote w:id="3">
    <w:p w:rsidR="00221112" w:rsidRDefault="002211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2B0464">
          <w:rPr>
            <w:rStyle w:val="Hyperlink"/>
          </w:rPr>
          <w:t>https://www.whitehouse.gov/wp-content/uploads/2021/09/FAR-Council-Guidance-on-Agency-Issuance-of-Deviations-to-Implement-EO-14042.pdf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F0B" w:rsidRDefault="004A0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2618" w:rsidRPr="00082618" w:rsidRDefault="00082618" w:rsidP="00082618">
    <w:pPr>
      <w:pStyle w:val="Header"/>
      <w:framePr w:h="361" w:hRule="exact" w:wrap="none" w:vAnchor="text" w:hAnchor="page" w:x="10910" w:y="-296"/>
      <w:rPr>
        <w:rStyle w:val="PageNumber"/>
        <w:sz w:val="18"/>
        <w:szCs w:val="18"/>
      </w:rPr>
    </w:pPr>
  </w:p>
  <w:p w:rsidR="0016276F" w:rsidRPr="00442F62" w:rsidRDefault="0016276F" w:rsidP="00BC6AC8">
    <w:pPr>
      <w:pStyle w:val="Header"/>
      <w:jc w:val="right"/>
      <w:rPr>
        <w:rFonts w:asciiTheme="majorHAnsi" w:hAnsiTheme="majorHAnsi" w:cstheme="majorHAnsi"/>
        <w:bCs/>
        <w:sz w:val="22"/>
        <w:szCs w:val="22"/>
      </w:rPr>
    </w:pPr>
    <w:r>
      <w:rPr>
        <w:rFonts w:ascii="Times New Roman" w:hAnsi="Times New Roman"/>
        <w:bCs/>
      </w:rPr>
      <w:tab/>
    </w:r>
    <w:r>
      <w:rPr>
        <w:rFonts w:ascii="Times New Roman" w:hAnsi="Times New Roman"/>
        <w:bCs/>
      </w:rPr>
      <w:tab/>
    </w:r>
    <w:r w:rsidR="00953489" w:rsidRPr="00442F62">
      <w:rPr>
        <w:rFonts w:asciiTheme="majorHAnsi" w:hAnsiTheme="majorHAnsi" w:cstheme="majorHAnsi"/>
        <w:bCs/>
        <w:sz w:val="22"/>
        <w:szCs w:val="22"/>
      </w:rPr>
      <w:t xml:space="preserve">Page </w: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begin"/>
    </w:r>
    <w:r w:rsidR="00953489" w:rsidRPr="00442F62">
      <w:rPr>
        <w:rFonts w:asciiTheme="majorHAnsi" w:hAnsiTheme="majorHAnsi" w:cstheme="majorHAnsi"/>
        <w:bCs/>
        <w:sz w:val="22"/>
        <w:szCs w:val="22"/>
      </w:rPr>
      <w:instrText xml:space="preserve"> PAGE  \* Arabic  \* MERGEFORMAT </w:instrTex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separate"/>
    </w:r>
    <w:r w:rsidR="0080463A">
      <w:rPr>
        <w:rFonts w:asciiTheme="majorHAnsi" w:hAnsiTheme="majorHAnsi" w:cstheme="majorHAnsi"/>
        <w:bCs/>
        <w:noProof/>
        <w:sz w:val="22"/>
        <w:szCs w:val="22"/>
      </w:rPr>
      <w:t>3</w: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end"/>
    </w:r>
    <w:r w:rsidR="00953489" w:rsidRPr="00442F62">
      <w:rPr>
        <w:rFonts w:asciiTheme="majorHAnsi" w:hAnsiTheme="majorHAnsi" w:cstheme="majorHAnsi"/>
        <w:bCs/>
        <w:sz w:val="22"/>
        <w:szCs w:val="22"/>
      </w:rPr>
      <w:t xml:space="preserve"> of </w: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begin"/>
    </w:r>
    <w:r w:rsidR="00953489" w:rsidRPr="00442F62">
      <w:rPr>
        <w:rFonts w:asciiTheme="majorHAnsi" w:hAnsiTheme="majorHAnsi" w:cstheme="majorHAnsi"/>
        <w:bCs/>
        <w:sz w:val="22"/>
        <w:szCs w:val="22"/>
      </w:rPr>
      <w:instrText xml:space="preserve"> NUMPAGES  \* Arabic  \* MERGEFORMAT </w:instrTex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separate"/>
    </w:r>
    <w:r w:rsidR="0080463A">
      <w:rPr>
        <w:rFonts w:asciiTheme="majorHAnsi" w:hAnsiTheme="majorHAnsi" w:cstheme="majorHAnsi"/>
        <w:bCs/>
        <w:noProof/>
        <w:sz w:val="22"/>
        <w:szCs w:val="22"/>
      </w:rPr>
      <w:t>3</w:t>
    </w:r>
    <w:r w:rsidR="00953489" w:rsidRPr="00442F62">
      <w:rPr>
        <w:rFonts w:asciiTheme="majorHAnsi" w:hAnsiTheme="majorHAnsi" w:cstheme="majorHAnsi"/>
        <w:bCs/>
        <w:sz w:val="22"/>
        <w:szCs w:val="22"/>
      </w:rPr>
      <w:fldChar w:fldCharType="end"/>
    </w:r>
  </w:p>
  <w:p w:rsidR="00082618" w:rsidRDefault="00082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A18" w:rsidRPr="00136568" w:rsidRDefault="00202D76" w:rsidP="00905280">
    <w:pPr>
      <w:spacing w:before="160" w:line="280" w:lineRule="exact"/>
      <w:jc w:val="right"/>
      <w:rPr>
        <w:b/>
        <w:bCs/>
        <w:sz w:val="17"/>
        <w:szCs w:val="17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0925F" wp14:editId="61CFAE48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820025" cy="10058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ERMARK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9AB">
      <w:rPr>
        <w:b/>
        <w:bCs/>
        <w:sz w:val="17"/>
        <w:szCs w:val="17"/>
      </w:rPr>
      <w:t>Kristen L. Wendler</w:t>
    </w:r>
    <w:r w:rsidR="002D0A18" w:rsidRPr="00136568">
      <w:rPr>
        <w:b/>
        <w:bCs/>
        <w:sz w:val="17"/>
        <w:szCs w:val="17"/>
      </w:rPr>
      <w:t xml:space="preserve"> | </w:t>
    </w:r>
    <w:r w:rsidR="005839AB">
      <w:rPr>
        <w:b/>
        <w:bCs/>
        <w:sz w:val="17"/>
        <w:szCs w:val="17"/>
      </w:rPr>
      <w:t>Partner</w:t>
    </w:r>
  </w:p>
  <w:p w:rsidR="002D0A18" w:rsidRPr="00136568" w:rsidRDefault="005839AB" w:rsidP="002D0A18">
    <w:pPr>
      <w:spacing w:line="280" w:lineRule="exact"/>
      <w:jc w:val="right"/>
      <w:rPr>
        <w:sz w:val="17"/>
        <w:szCs w:val="17"/>
      </w:rPr>
    </w:pPr>
    <w:r>
      <w:rPr>
        <w:sz w:val="17"/>
        <w:szCs w:val="17"/>
      </w:rPr>
      <w:t>kwendler</w:t>
    </w:r>
    <w:r w:rsidR="002D0A18" w:rsidRPr="00136568">
      <w:rPr>
        <w:sz w:val="17"/>
        <w:szCs w:val="17"/>
      </w:rPr>
      <w:t>@farhangmedcoff.com</w:t>
    </w:r>
  </w:p>
  <w:p w:rsidR="002D0A18" w:rsidRDefault="002D0A18" w:rsidP="002D0A18">
    <w:pPr>
      <w:spacing w:line="280" w:lineRule="exact"/>
      <w:jc w:val="right"/>
      <w:rPr>
        <w:sz w:val="17"/>
        <w:szCs w:val="17"/>
      </w:rPr>
    </w:pPr>
    <w:r>
      <w:rPr>
        <w:sz w:val="17"/>
        <w:szCs w:val="17"/>
      </w:rPr>
      <w:t>d</w:t>
    </w:r>
    <w:r w:rsidRPr="00136568">
      <w:rPr>
        <w:sz w:val="17"/>
        <w:szCs w:val="17"/>
      </w:rPr>
      <w:t>: 520.</w:t>
    </w:r>
    <w:r w:rsidR="005839AB">
      <w:rPr>
        <w:sz w:val="17"/>
        <w:szCs w:val="17"/>
      </w:rPr>
      <w:t>495.5249</w:t>
    </w:r>
  </w:p>
  <w:p w:rsidR="0071077B" w:rsidRDefault="0071077B" w:rsidP="00905280">
    <w:pPr>
      <w:spacing w:before="80" w:line="280" w:lineRule="exact"/>
      <w:rPr>
        <w:sz w:val="17"/>
        <w:szCs w:val="17"/>
      </w:rPr>
    </w:pPr>
    <w:r w:rsidRPr="00136568">
      <w:rPr>
        <w:sz w:val="17"/>
        <w:szCs w:val="17"/>
      </w:rPr>
      <w:t>4801 E. Broadway Boulevard, Suite 311 | Tucson, Arizona 85711</w:t>
    </w:r>
  </w:p>
  <w:p w:rsidR="0071077B" w:rsidRPr="00905280" w:rsidRDefault="0071077B" w:rsidP="0071077B">
    <w:pPr>
      <w:spacing w:line="280" w:lineRule="exact"/>
      <w:rPr>
        <w:b/>
        <w:color w:val="0C61B0"/>
        <w:sz w:val="17"/>
        <w:szCs w:val="17"/>
      </w:rPr>
    </w:pPr>
    <w:r w:rsidRPr="00136568">
      <w:rPr>
        <w:sz w:val="17"/>
        <w:szCs w:val="17"/>
      </w:rPr>
      <w:t>p: 520.214.2000 | f: 520.214.2001 |</w:t>
    </w:r>
    <w:r>
      <w:rPr>
        <w:sz w:val="17"/>
        <w:szCs w:val="17"/>
      </w:rPr>
      <w:t xml:space="preserve"> </w:t>
    </w:r>
    <w:hyperlink r:id="rId2" w:history="1">
      <w:r w:rsidRPr="00905280">
        <w:rPr>
          <w:rStyle w:val="Hyperlink"/>
          <w:b/>
          <w:color w:val="0C61B0"/>
          <w:sz w:val="17"/>
          <w:szCs w:val="17"/>
          <w:u w:val="none"/>
        </w:rPr>
        <w:t>farhangmedcoff.com</w:t>
      </w:r>
    </w:hyperlink>
    <w:r w:rsidR="00905280" w:rsidRPr="00905280">
      <w:rPr>
        <w:b/>
        <w:color w:val="0C61B0"/>
        <w:sz w:val="17"/>
        <w:szCs w:val="17"/>
      </w:rPr>
      <w:t xml:space="preserve"> </w:t>
    </w:r>
  </w:p>
  <w:p w:rsidR="00D661FD" w:rsidRDefault="00D661FD" w:rsidP="000826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34CCC"/>
    <w:multiLevelType w:val="multilevel"/>
    <w:tmpl w:val="370AFDA8"/>
    <w:name w:val="zzmpTabbed||Tabbed|2|3|1|1|2|0||1|4|1||1|4|1||1|4|1||1|4|0||1|4|0||1|4|0||1|4|0||1|4|0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firstLine="720"/>
      </w:pPr>
      <w:rPr>
        <w:rFonts w:asciiTheme="majorHAnsi" w:hAnsiTheme="majorHAnsi" w:cstheme="majorHAnsi" w:hint="default"/>
        <w:b w:val="0"/>
        <w:i w:val="0"/>
        <w:caps w:val="0"/>
        <w:color w:val="auto"/>
        <w:u w:val="no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7D1B4456"/>
    <w:multiLevelType w:val="hybridMultilevel"/>
    <w:tmpl w:val="BF58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8E"/>
    <w:rsid w:val="000057DA"/>
    <w:rsid w:val="000353D3"/>
    <w:rsid w:val="000371DB"/>
    <w:rsid w:val="00043FBB"/>
    <w:rsid w:val="00055EC4"/>
    <w:rsid w:val="00056580"/>
    <w:rsid w:val="00082618"/>
    <w:rsid w:val="0008588E"/>
    <w:rsid w:val="000A64AC"/>
    <w:rsid w:val="000B75A9"/>
    <w:rsid w:val="000C2E44"/>
    <w:rsid w:val="000D3D61"/>
    <w:rsid w:val="000D3F12"/>
    <w:rsid w:val="000E01D1"/>
    <w:rsid w:val="000E6243"/>
    <w:rsid w:val="000F063A"/>
    <w:rsid w:val="000F2CED"/>
    <w:rsid w:val="000F753B"/>
    <w:rsid w:val="00105C39"/>
    <w:rsid w:val="00110783"/>
    <w:rsid w:val="00115804"/>
    <w:rsid w:val="00127F1A"/>
    <w:rsid w:val="00136568"/>
    <w:rsid w:val="00137370"/>
    <w:rsid w:val="0016276F"/>
    <w:rsid w:val="001634A5"/>
    <w:rsid w:val="00165E0C"/>
    <w:rsid w:val="001717EA"/>
    <w:rsid w:val="0017490B"/>
    <w:rsid w:val="00175C04"/>
    <w:rsid w:val="001928A9"/>
    <w:rsid w:val="001D394C"/>
    <w:rsid w:val="00202D76"/>
    <w:rsid w:val="00212AC8"/>
    <w:rsid w:val="00221112"/>
    <w:rsid w:val="0022727B"/>
    <w:rsid w:val="00235243"/>
    <w:rsid w:val="00250FC2"/>
    <w:rsid w:val="00252D16"/>
    <w:rsid w:val="00253719"/>
    <w:rsid w:val="00260EE2"/>
    <w:rsid w:val="00272CB4"/>
    <w:rsid w:val="00282AC2"/>
    <w:rsid w:val="00287C30"/>
    <w:rsid w:val="002A2CAA"/>
    <w:rsid w:val="002A6DA1"/>
    <w:rsid w:val="002D0A18"/>
    <w:rsid w:val="002D2363"/>
    <w:rsid w:val="002D3E12"/>
    <w:rsid w:val="002E0D04"/>
    <w:rsid w:val="002E637B"/>
    <w:rsid w:val="002E6FE1"/>
    <w:rsid w:val="002F7F1C"/>
    <w:rsid w:val="00304055"/>
    <w:rsid w:val="00307047"/>
    <w:rsid w:val="00315EAF"/>
    <w:rsid w:val="00333446"/>
    <w:rsid w:val="003415AD"/>
    <w:rsid w:val="003466F5"/>
    <w:rsid w:val="003501CC"/>
    <w:rsid w:val="00354AE3"/>
    <w:rsid w:val="003617E1"/>
    <w:rsid w:val="00367B22"/>
    <w:rsid w:val="003827B0"/>
    <w:rsid w:val="0038333D"/>
    <w:rsid w:val="00394D0D"/>
    <w:rsid w:val="00397B2F"/>
    <w:rsid w:val="003B26DD"/>
    <w:rsid w:val="003C7272"/>
    <w:rsid w:val="003E138A"/>
    <w:rsid w:val="003E3267"/>
    <w:rsid w:val="003F463D"/>
    <w:rsid w:val="004100E9"/>
    <w:rsid w:val="004319D5"/>
    <w:rsid w:val="00433EB3"/>
    <w:rsid w:val="00436019"/>
    <w:rsid w:val="00442F62"/>
    <w:rsid w:val="00445E46"/>
    <w:rsid w:val="00452612"/>
    <w:rsid w:val="004553D4"/>
    <w:rsid w:val="004931C8"/>
    <w:rsid w:val="004A0F0B"/>
    <w:rsid w:val="004A3A34"/>
    <w:rsid w:val="004A554F"/>
    <w:rsid w:val="004B2DBC"/>
    <w:rsid w:val="004B358E"/>
    <w:rsid w:val="004C2C3E"/>
    <w:rsid w:val="004D073E"/>
    <w:rsid w:val="004E25CF"/>
    <w:rsid w:val="00507D98"/>
    <w:rsid w:val="00517FBD"/>
    <w:rsid w:val="00527021"/>
    <w:rsid w:val="00552E1E"/>
    <w:rsid w:val="005719B5"/>
    <w:rsid w:val="005727B7"/>
    <w:rsid w:val="00581FA9"/>
    <w:rsid w:val="005839AB"/>
    <w:rsid w:val="00584C78"/>
    <w:rsid w:val="0059129B"/>
    <w:rsid w:val="005A7053"/>
    <w:rsid w:val="005E4FB0"/>
    <w:rsid w:val="005F4BE3"/>
    <w:rsid w:val="00621F96"/>
    <w:rsid w:val="0062472D"/>
    <w:rsid w:val="00630CFE"/>
    <w:rsid w:val="00633E29"/>
    <w:rsid w:val="006350A5"/>
    <w:rsid w:val="00637011"/>
    <w:rsid w:val="0066007D"/>
    <w:rsid w:val="00692452"/>
    <w:rsid w:val="006B376D"/>
    <w:rsid w:val="006F588C"/>
    <w:rsid w:val="006F6C46"/>
    <w:rsid w:val="00703729"/>
    <w:rsid w:val="00710678"/>
    <w:rsid w:val="0071077B"/>
    <w:rsid w:val="00711F2F"/>
    <w:rsid w:val="00744122"/>
    <w:rsid w:val="00745E50"/>
    <w:rsid w:val="00750CE5"/>
    <w:rsid w:val="007558F4"/>
    <w:rsid w:val="00761502"/>
    <w:rsid w:val="0076226D"/>
    <w:rsid w:val="0077080B"/>
    <w:rsid w:val="007725CC"/>
    <w:rsid w:val="007A6839"/>
    <w:rsid w:val="007A7A1D"/>
    <w:rsid w:val="007B2FA3"/>
    <w:rsid w:val="007C1A0A"/>
    <w:rsid w:val="007E39E4"/>
    <w:rsid w:val="0080463A"/>
    <w:rsid w:val="00805C04"/>
    <w:rsid w:val="00822AE9"/>
    <w:rsid w:val="00862F03"/>
    <w:rsid w:val="008A268C"/>
    <w:rsid w:val="008A6FAB"/>
    <w:rsid w:val="008A7458"/>
    <w:rsid w:val="00905280"/>
    <w:rsid w:val="0090653D"/>
    <w:rsid w:val="0091612E"/>
    <w:rsid w:val="00922365"/>
    <w:rsid w:val="00951289"/>
    <w:rsid w:val="00953489"/>
    <w:rsid w:val="009537DB"/>
    <w:rsid w:val="00957F61"/>
    <w:rsid w:val="00996983"/>
    <w:rsid w:val="009A385B"/>
    <w:rsid w:val="009A49CA"/>
    <w:rsid w:val="009B791C"/>
    <w:rsid w:val="009E1DE4"/>
    <w:rsid w:val="009F0465"/>
    <w:rsid w:val="009F3681"/>
    <w:rsid w:val="009F5CC2"/>
    <w:rsid w:val="00A34F43"/>
    <w:rsid w:val="00A56B47"/>
    <w:rsid w:val="00A5745A"/>
    <w:rsid w:val="00A63235"/>
    <w:rsid w:val="00A65316"/>
    <w:rsid w:val="00A7687B"/>
    <w:rsid w:val="00A822D3"/>
    <w:rsid w:val="00AA5AA7"/>
    <w:rsid w:val="00AD40D1"/>
    <w:rsid w:val="00AF1990"/>
    <w:rsid w:val="00B0695D"/>
    <w:rsid w:val="00B11531"/>
    <w:rsid w:val="00B12A27"/>
    <w:rsid w:val="00B15EBF"/>
    <w:rsid w:val="00B1798C"/>
    <w:rsid w:val="00B44AFF"/>
    <w:rsid w:val="00B668A8"/>
    <w:rsid w:val="00B6758F"/>
    <w:rsid w:val="00B710B9"/>
    <w:rsid w:val="00B71232"/>
    <w:rsid w:val="00B71666"/>
    <w:rsid w:val="00B760B3"/>
    <w:rsid w:val="00B819A7"/>
    <w:rsid w:val="00BA7A5F"/>
    <w:rsid w:val="00BB164B"/>
    <w:rsid w:val="00BC6AC8"/>
    <w:rsid w:val="00BE22F3"/>
    <w:rsid w:val="00BF553F"/>
    <w:rsid w:val="00C11CCE"/>
    <w:rsid w:val="00C1201D"/>
    <w:rsid w:val="00C16044"/>
    <w:rsid w:val="00C16937"/>
    <w:rsid w:val="00C17AA0"/>
    <w:rsid w:val="00C2480D"/>
    <w:rsid w:val="00C6108E"/>
    <w:rsid w:val="00C67F5C"/>
    <w:rsid w:val="00C730BB"/>
    <w:rsid w:val="00C93C2A"/>
    <w:rsid w:val="00CA7A49"/>
    <w:rsid w:val="00CB5884"/>
    <w:rsid w:val="00CC1B77"/>
    <w:rsid w:val="00CF0BD0"/>
    <w:rsid w:val="00CF1207"/>
    <w:rsid w:val="00D06FAE"/>
    <w:rsid w:val="00D1518D"/>
    <w:rsid w:val="00D1592D"/>
    <w:rsid w:val="00D536C3"/>
    <w:rsid w:val="00D661FD"/>
    <w:rsid w:val="00D761F8"/>
    <w:rsid w:val="00D92E72"/>
    <w:rsid w:val="00DB1600"/>
    <w:rsid w:val="00DC21D2"/>
    <w:rsid w:val="00DD6DE2"/>
    <w:rsid w:val="00E04EDC"/>
    <w:rsid w:val="00E05C75"/>
    <w:rsid w:val="00E17F3C"/>
    <w:rsid w:val="00E30AF9"/>
    <w:rsid w:val="00E35CA4"/>
    <w:rsid w:val="00E57A64"/>
    <w:rsid w:val="00E671A6"/>
    <w:rsid w:val="00E770FC"/>
    <w:rsid w:val="00E918F6"/>
    <w:rsid w:val="00E9779C"/>
    <w:rsid w:val="00EB07E2"/>
    <w:rsid w:val="00EB618D"/>
    <w:rsid w:val="00F0171B"/>
    <w:rsid w:val="00F07310"/>
    <w:rsid w:val="00F47340"/>
    <w:rsid w:val="00F513FE"/>
    <w:rsid w:val="00F54D37"/>
    <w:rsid w:val="00F671BC"/>
    <w:rsid w:val="00F8748F"/>
    <w:rsid w:val="00F90610"/>
    <w:rsid w:val="00F93D30"/>
    <w:rsid w:val="00FA32D3"/>
    <w:rsid w:val="00FB25FE"/>
    <w:rsid w:val="00FB61CE"/>
    <w:rsid w:val="00FE035A"/>
    <w:rsid w:val="00FF5F4E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60921"/>
  <w15:docId w15:val="{50AC1DF1-8F3E-45CC-B405-E23013DB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58E"/>
  </w:style>
  <w:style w:type="paragraph" w:styleId="Footer">
    <w:name w:val="footer"/>
    <w:basedOn w:val="Normal"/>
    <w:link w:val="FooterChar"/>
    <w:uiPriority w:val="99"/>
    <w:unhideWhenUsed/>
    <w:rsid w:val="004B3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58E"/>
  </w:style>
  <w:style w:type="paragraph" w:styleId="BalloonText">
    <w:name w:val="Balloon Text"/>
    <w:basedOn w:val="Normal"/>
    <w:link w:val="BalloonTextChar"/>
    <w:uiPriority w:val="99"/>
    <w:semiHidden/>
    <w:unhideWhenUsed/>
    <w:rsid w:val="004B358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8E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82618"/>
  </w:style>
  <w:style w:type="character" w:styleId="Hyperlink">
    <w:name w:val="Hyperlink"/>
    <w:basedOn w:val="DefaultParagraphFont"/>
    <w:uiPriority w:val="99"/>
    <w:unhideWhenUsed/>
    <w:rsid w:val="003827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7B0"/>
    <w:rPr>
      <w:color w:val="605E5C"/>
      <w:shd w:val="clear" w:color="auto" w:fill="E1DFDD"/>
    </w:rPr>
  </w:style>
  <w:style w:type="paragraph" w:styleId="Salutation">
    <w:name w:val="Salutation"/>
    <w:basedOn w:val="Normal"/>
    <w:next w:val="Normal"/>
    <w:link w:val="SalutationChar"/>
    <w:rsid w:val="0016276F"/>
    <w:pPr>
      <w:spacing w:before="240" w:after="240"/>
    </w:pPr>
    <w:rPr>
      <w:rFonts w:ascii="Times New Roman" w:eastAsia="Times New Roman" w:hAnsi="Times New Roman" w:cs="Times New Roman"/>
      <w:szCs w:val="20"/>
    </w:rPr>
  </w:style>
  <w:style w:type="character" w:customStyle="1" w:styleId="SalutationChar">
    <w:name w:val="Salutation Char"/>
    <w:basedOn w:val="DefaultParagraphFont"/>
    <w:link w:val="Salutation"/>
    <w:rsid w:val="0016276F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6276F"/>
    <w:pPr>
      <w:spacing w:after="12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276F"/>
    <w:rPr>
      <w:rFonts w:ascii="Calibri" w:eastAsia="Calibri" w:hAnsi="Calibri" w:cs="Times New Roman"/>
      <w:sz w:val="22"/>
      <w:szCs w:val="22"/>
    </w:rPr>
  </w:style>
  <w:style w:type="paragraph" w:customStyle="1" w:styleId="LetterSignature">
    <w:name w:val="Letter Signature"/>
    <w:basedOn w:val="Normal"/>
    <w:rsid w:val="0016276F"/>
    <w:pPr>
      <w:ind w:left="4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bedL1">
    <w:name w:val="Tabbed_L1"/>
    <w:basedOn w:val="Normal"/>
    <w:next w:val="BodyText"/>
    <w:rsid w:val="0016276F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TabbedL2">
    <w:name w:val="Tabbed_L2"/>
    <w:basedOn w:val="TabbedL1"/>
    <w:next w:val="BodyText"/>
    <w:rsid w:val="0016276F"/>
    <w:pPr>
      <w:numPr>
        <w:ilvl w:val="1"/>
      </w:numPr>
      <w:jc w:val="left"/>
      <w:outlineLvl w:val="1"/>
    </w:pPr>
  </w:style>
  <w:style w:type="paragraph" w:customStyle="1" w:styleId="TabbedL3">
    <w:name w:val="Tabbed_L3"/>
    <w:basedOn w:val="TabbedL2"/>
    <w:next w:val="BodyText"/>
    <w:rsid w:val="0016276F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BodyText"/>
    <w:rsid w:val="0016276F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BodyText"/>
    <w:rsid w:val="0016276F"/>
    <w:pPr>
      <w:numPr>
        <w:ilvl w:val="4"/>
      </w:numPr>
      <w:outlineLvl w:val="4"/>
    </w:pPr>
  </w:style>
  <w:style w:type="paragraph" w:customStyle="1" w:styleId="TabbedL6">
    <w:name w:val="Tabbed_L6"/>
    <w:basedOn w:val="TabbedL5"/>
    <w:next w:val="BodyText"/>
    <w:rsid w:val="0016276F"/>
    <w:pPr>
      <w:numPr>
        <w:ilvl w:val="5"/>
      </w:numPr>
      <w:outlineLvl w:val="5"/>
    </w:pPr>
  </w:style>
  <w:style w:type="paragraph" w:customStyle="1" w:styleId="TabbedL7">
    <w:name w:val="Tabbed_L7"/>
    <w:basedOn w:val="TabbedL6"/>
    <w:next w:val="BodyText"/>
    <w:rsid w:val="0016276F"/>
    <w:pPr>
      <w:numPr>
        <w:ilvl w:val="6"/>
      </w:numPr>
      <w:outlineLvl w:val="6"/>
    </w:pPr>
  </w:style>
  <w:style w:type="paragraph" w:customStyle="1" w:styleId="TabbedL8">
    <w:name w:val="Tabbed_L8"/>
    <w:basedOn w:val="TabbedL7"/>
    <w:next w:val="BodyText"/>
    <w:rsid w:val="0016276F"/>
    <w:pPr>
      <w:numPr>
        <w:ilvl w:val="7"/>
      </w:numPr>
      <w:outlineLvl w:val="7"/>
    </w:pPr>
  </w:style>
  <w:style w:type="paragraph" w:customStyle="1" w:styleId="TabbedL9">
    <w:name w:val="Tabbed_L9"/>
    <w:basedOn w:val="TabbedL8"/>
    <w:next w:val="BodyText"/>
    <w:rsid w:val="0016276F"/>
    <w:pPr>
      <w:numPr>
        <w:ilvl w:val="8"/>
      </w:numPr>
      <w:outlineLvl w:val="8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F5CC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5CC2"/>
    <w:rPr>
      <w:rFonts w:ascii="Lucida Grande" w:hAnsi="Lucida Grande" w:cs="Lucida Grand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2E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01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4D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D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4D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54D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D3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7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A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itehouse.gov/wp-content/uploads/2021/09/FAR-Council-Guidance-on-Agency-Issuance-of-Deviations-to-Implement-EO-14042.pdf" TargetMode="External"/><Relationship Id="rId2" Type="http://schemas.openxmlformats.org/officeDocument/2006/relationships/hyperlink" Target="https://www.saferfederalworkforce.gov/faq/contractors/" TargetMode="External"/><Relationship Id="rId1" Type="http://schemas.openxmlformats.org/officeDocument/2006/relationships/hyperlink" Target="https://www.saferfederalworkforce.gov/downloads/Draft%20contractor%20guidance%20doc_20210922.pd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hangmedcoff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2392</Characters>
  <Application>Microsoft Office Word</Application>
  <DocSecurity>0</DocSecurity>
  <PresentationFormat>15|.DOCX</PresentationFormat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00830391.1</dc:subject>
  <dc:creator>Kristen L. Wendler</dc:creator>
  <cp:keywords/>
  <dc:description/>
  <cp:lastModifiedBy>Kristen L. Wendler</cp:lastModifiedBy>
  <cp:revision>1</cp:revision>
  <cp:lastPrinted>2020-01-08T00:46:00Z</cp:lastPrinted>
  <dcterms:created xsi:type="dcterms:W3CDTF">2021-10-12T12:34:00Z</dcterms:created>
  <dcterms:modified xsi:type="dcterms:W3CDTF">2021-10-12T12:34:00Z</dcterms:modified>
</cp:coreProperties>
</file>