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B7B8" w14:textId="2116E68D" w:rsidR="00081839" w:rsidRDefault="00081839">
      <w:pPr>
        <w:rPr>
          <w:rFonts w:ascii="Times New Roman" w:hAnsi="Times New Roman" w:cs="Times New Roman"/>
          <w:sz w:val="26"/>
          <w:szCs w:val="26"/>
        </w:rPr>
      </w:pPr>
    </w:p>
    <w:p w14:paraId="20C06F2B" w14:textId="6394F1FB" w:rsidR="0058152A" w:rsidRDefault="005815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From: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Neal Eckel, </w:t>
      </w:r>
      <w:proofErr w:type="spellStart"/>
      <w:r>
        <w:rPr>
          <w:rFonts w:ascii="Times New Roman" w:hAnsi="Times New Roman" w:cs="Times New Roman"/>
          <w:sz w:val="26"/>
          <w:szCs w:val="26"/>
        </w:rPr>
        <w:t>Farhang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 w:cs="Times New Roman"/>
          <w:sz w:val="26"/>
          <w:szCs w:val="26"/>
        </w:rPr>
        <w:t>Medcoff</w:t>
      </w:r>
      <w:proofErr w:type="spellEnd"/>
    </w:p>
    <w:p w14:paraId="641426CA" w14:textId="1FFB7587" w:rsidR="0058152A" w:rsidRDefault="005815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12/8/21</w:t>
      </w:r>
    </w:p>
    <w:p w14:paraId="0CD88135" w14:textId="4386047E" w:rsidR="0058152A" w:rsidRDefault="005815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Legal Update on Claims against the Government</w:t>
      </w:r>
    </w:p>
    <w:p w14:paraId="07671BE9" w14:textId="19A66DB9" w:rsidR="0058152A" w:rsidRDefault="0058152A">
      <w:pPr>
        <w:rPr>
          <w:rFonts w:ascii="Times New Roman" w:hAnsi="Times New Roman" w:cs="Times New Roman"/>
          <w:sz w:val="26"/>
          <w:szCs w:val="26"/>
        </w:rPr>
      </w:pPr>
    </w:p>
    <w:p w14:paraId="4A838669" w14:textId="7800AB0A" w:rsidR="00CF38BD" w:rsidRDefault="00CF38BD" w:rsidP="00FB66B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For those of you who do government work (and the lessons from this case also apply to private work) make sure that if a claim arises </w:t>
      </w:r>
      <w:r w:rsidR="002039D7">
        <w:rPr>
          <w:rFonts w:ascii="Times New Roman" w:hAnsi="Times New Roman" w:cs="Times New Roman"/>
          <w:sz w:val="26"/>
          <w:szCs w:val="26"/>
        </w:rPr>
        <w:t>you strictly comply with any statutory, governmental</w:t>
      </w:r>
      <w:r w:rsidR="00680CAE">
        <w:rPr>
          <w:rFonts w:ascii="Times New Roman" w:hAnsi="Times New Roman" w:cs="Times New Roman"/>
          <w:sz w:val="26"/>
          <w:szCs w:val="26"/>
        </w:rPr>
        <w:t xml:space="preserve">, and contractual requirements. </w:t>
      </w:r>
      <w:r w:rsidR="008B6D52">
        <w:rPr>
          <w:rFonts w:ascii="Times New Roman" w:hAnsi="Times New Roman" w:cs="Times New Roman"/>
          <w:sz w:val="26"/>
          <w:szCs w:val="26"/>
        </w:rPr>
        <w:t>Missing a deadline or not properly submitting a claim can be a bar to recovery for changes in work</w:t>
      </w:r>
      <w:r w:rsidR="00A21C32">
        <w:rPr>
          <w:rFonts w:ascii="Times New Roman" w:hAnsi="Times New Roman" w:cs="Times New Roman"/>
          <w:sz w:val="26"/>
          <w:szCs w:val="26"/>
        </w:rPr>
        <w:t>,</w:t>
      </w:r>
      <w:r w:rsidR="008B6D52">
        <w:rPr>
          <w:rFonts w:ascii="Times New Roman" w:hAnsi="Times New Roman" w:cs="Times New Roman"/>
          <w:sz w:val="26"/>
          <w:szCs w:val="26"/>
        </w:rPr>
        <w:t xml:space="preserve"> delay damages</w:t>
      </w:r>
      <w:r w:rsidR="00A21C32">
        <w:rPr>
          <w:rFonts w:ascii="Times New Roman" w:hAnsi="Times New Roman" w:cs="Times New Roman"/>
          <w:sz w:val="26"/>
          <w:szCs w:val="26"/>
        </w:rPr>
        <w:t>, and other claims that may arise</w:t>
      </w:r>
      <w:r w:rsidR="008B6D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CC0EE7" w14:textId="75C2BAC1" w:rsidR="0058152A" w:rsidRDefault="008021D5" w:rsidP="00FB66B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 </w:t>
      </w:r>
      <w:r w:rsidR="008636E7">
        <w:rPr>
          <w:rFonts w:ascii="Times New Roman" w:hAnsi="Times New Roman" w:cs="Times New Roman"/>
          <w:sz w:val="26"/>
          <w:szCs w:val="26"/>
        </w:rPr>
        <w:t xml:space="preserve">October 19, 2021, the Arizona Court of Appeals issued a decision in the case of </w:t>
      </w:r>
      <w:proofErr w:type="spellStart"/>
      <w:r w:rsidR="008636E7" w:rsidRPr="003A5654">
        <w:rPr>
          <w:rFonts w:ascii="Times New Roman" w:hAnsi="Times New Roman" w:cs="Times New Roman"/>
          <w:i/>
          <w:iCs/>
          <w:sz w:val="26"/>
          <w:szCs w:val="26"/>
        </w:rPr>
        <w:t>Pulice</w:t>
      </w:r>
      <w:proofErr w:type="spellEnd"/>
      <w:r w:rsidR="008636E7" w:rsidRPr="003A5654">
        <w:rPr>
          <w:rFonts w:ascii="Times New Roman" w:hAnsi="Times New Roman" w:cs="Times New Roman"/>
          <w:i/>
          <w:iCs/>
          <w:sz w:val="26"/>
          <w:szCs w:val="26"/>
        </w:rPr>
        <w:t xml:space="preserve"> Construction v. City of Tucson</w:t>
      </w:r>
      <w:r w:rsidR="008636E7">
        <w:rPr>
          <w:rFonts w:ascii="Times New Roman" w:hAnsi="Times New Roman" w:cs="Times New Roman"/>
          <w:sz w:val="26"/>
          <w:szCs w:val="26"/>
        </w:rPr>
        <w:t xml:space="preserve"> (</w:t>
      </w:r>
      <w:r w:rsidR="00FB66B7">
        <w:rPr>
          <w:rFonts w:ascii="Times New Roman" w:hAnsi="Times New Roman" w:cs="Times New Roman"/>
          <w:sz w:val="26"/>
          <w:szCs w:val="26"/>
        </w:rPr>
        <w:t xml:space="preserve">(No. 2 CA-CV 2020-0165). </w:t>
      </w:r>
      <w:r w:rsidR="00C445FE">
        <w:rPr>
          <w:rFonts w:ascii="Times New Roman" w:hAnsi="Times New Roman" w:cs="Times New Roman"/>
          <w:sz w:val="26"/>
          <w:szCs w:val="26"/>
        </w:rPr>
        <w:t xml:space="preserve">The decision dealt with a contract awarded to </w:t>
      </w:r>
      <w:proofErr w:type="spellStart"/>
      <w:r w:rsidR="00C445FE">
        <w:rPr>
          <w:rFonts w:ascii="Times New Roman" w:hAnsi="Times New Roman" w:cs="Times New Roman"/>
          <w:sz w:val="26"/>
          <w:szCs w:val="26"/>
        </w:rPr>
        <w:t>Pulice</w:t>
      </w:r>
      <w:proofErr w:type="spellEnd"/>
      <w:r w:rsidR="00C445FE">
        <w:rPr>
          <w:rFonts w:ascii="Times New Roman" w:hAnsi="Times New Roman" w:cs="Times New Roman"/>
          <w:sz w:val="26"/>
          <w:szCs w:val="26"/>
        </w:rPr>
        <w:t xml:space="preserve"> by the City of Tucson to demolish a bridge and replace it with two bridges over a section of the Union Pacific Railroad. </w:t>
      </w:r>
      <w:proofErr w:type="spellStart"/>
      <w:r w:rsidR="00035315">
        <w:rPr>
          <w:rFonts w:ascii="Times New Roman" w:hAnsi="Times New Roman" w:cs="Times New Roman"/>
          <w:sz w:val="26"/>
          <w:szCs w:val="26"/>
        </w:rPr>
        <w:t>Pulice’s</w:t>
      </w:r>
      <w:proofErr w:type="spellEnd"/>
      <w:r w:rsidR="00035315">
        <w:rPr>
          <w:rFonts w:ascii="Times New Roman" w:hAnsi="Times New Roman" w:cs="Times New Roman"/>
          <w:sz w:val="26"/>
          <w:szCs w:val="26"/>
        </w:rPr>
        <w:t xml:space="preserve"> bid was based on their belief that </w:t>
      </w:r>
      <w:r w:rsidR="005B6D17">
        <w:rPr>
          <w:rFonts w:ascii="Times New Roman" w:hAnsi="Times New Roman" w:cs="Times New Roman"/>
          <w:sz w:val="26"/>
          <w:szCs w:val="26"/>
        </w:rPr>
        <w:t xml:space="preserve">only one train passed through the intersection each week when in fact many more trains passed through each week. </w:t>
      </w:r>
    </w:p>
    <w:p w14:paraId="07A0195D" w14:textId="5E1126C1" w:rsidR="007017D1" w:rsidRDefault="005B6D17" w:rsidP="00FB66B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Pulice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learned about the discrepancy in train traffic </w:t>
      </w:r>
      <w:r w:rsidR="009E4C46">
        <w:rPr>
          <w:rFonts w:ascii="Times New Roman" w:hAnsi="Times New Roman" w:cs="Times New Roman"/>
          <w:sz w:val="26"/>
          <w:szCs w:val="26"/>
        </w:rPr>
        <w:t xml:space="preserve">numbers provided by the City </w:t>
      </w:r>
      <w:r w:rsidR="000A3836">
        <w:rPr>
          <w:rFonts w:ascii="Times New Roman" w:hAnsi="Times New Roman" w:cs="Times New Roman"/>
          <w:sz w:val="26"/>
          <w:szCs w:val="26"/>
        </w:rPr>
        <w:t xml:space="preserve">in March 2017 and notified the City </w:t>
      </w:r>
      <w:r w:rsidR="009725BF">
        <w:rPr>
          <w:rFonts w:ascii="Times New Roman" w:hAnsi="Times New Roman" w:cs="Times New Roman"/>
          <w:sz w:val="26"/>
          <w:szCs w:val="26"/>
        </w:rPr>
        <w:t xml:space="preserve">Engineer </w:t>
      </w:r>
      <w:r w:rsidR="00A21C32">
        <w:rPr>
          <w:rFonts w:ascii="Times New Roman" w:hAnsi="Times New Roman" w:cs="Times New Roman"/>
          <w:sz w:val="26"/>
          <w:szCs w:val="26"/>
        </w:rPr>
        <w:t>shortly after</w:t>
      </w:r>
      <w:r w:rsidR="000A3836">
        <w:rPr>
          <w:rFonts w:ascii="Times New Roman" w:hAnsi="Times New Roman" w:cs="Times New Roman"/>
          <w:sz w:val="26"/>
          <w:szCs w:val="26"/>
        </w:rPr>
        <w:t xml:space="preserve"> </w:t>
      </w:r>
      <w:r w:rsidR="009725BF">
        <w:rPr>
          <w:rFonts w:ascii="Times New Roman" w:hAnsi="Times New Roman" w:cs="Times New Roman"/>
          <w:sz w:val="26"/>
          <w:szCs w:val="26"/>
        </w:rPr>
        <w:t xml:space="preserve">discovering the </w:t>
      </w:r>
      <w:r w:rsidR="000A3836">
        <w:rPr>
          <w:rFonts w:ascii="Times New Roman" w:hAnsi="Times New Roman" w:cs="Times New Roman"/>
          <w:sz w:val="26"/>
          <w:szCs w:val="26"/>
        </w:rPr>
        <w:t xml:space="preserve">error. However, </w:t>
      </w:r>
      <w:proofErr w:type="spellStart"/>
      <w:r w:rsidR="000A3836" w:rsidRPr="0079163C">
        <w:rPr>
          <w:rFonts w:ascii="Times New Roman" w:hAnsi="Times New Roman" w:cs="Times New Roman"/>
          <w:sz w:val="26"/>
          <w:szCs w:val="26"/>
          <w:u w:val="single"/>
        </w:rPr>
        <w:t>Pulice</w:t>
      </w:r>
      <w:proofErr w:type="spellEnd"/>
      <w:r w:rsidR="000A3836" w:rsidRPr="0079163C">
        <w:rPr>
          <w:rFonts w:ascii="Times New Roman" w:hAnsi="Times New Roman" w:cs="Times New Roman"/>
          <w:sz w:val="26"/>
          <w:szCs w:val="26"/>
          <w:u w:val="single"/>
        </w:rPr>
        <w:t xml:space="preserve"> did not submit a written claim to the City </w:t>
      </w:r>
      <w:r w:rsidR="007017D1" w:rsidRPr="0079163C">
        <w:rPr>
          <w:rFonts w:ascii="Times New Roman" w:hAnsi="Times New Roman" w:cs="Times New Roman"/>
          <w:sz w:val="26"/>
          <w:szCs w:val="26"/>
          <w:u w:val="single"/>
        </w:rPr>
        <w:t>for its amended costs based on increased train traffic until late 2018 (after the construction had been completed)</w:t>
      </w:r>
      <w:r w:rsidR="007017D1">
        <w:rPr>
          <w:rFonts w:ascii="Times New Roman" w:hAnsi="Times New Roman" w:cs="Times New Roman"/>
          <w:sz w:val="26"/>
          <w:szCs w:val="26"/>
        </w:rPr>
        <w:t xml:space="preserve">. It wasn’t until October 2018 that </w:t>
      </w:r>
      <w:proofErr w:type="spellStart"/>
      <w:r w:rsidR="007017D1">
        <w:rPr>
          <w:rFonts w:ascii="Times New Roman" w:hAnsi="Times New Roman" w:cs="Times New Roman"/>
          <w:sz w:val="26"/>
          <w:szCs w:val="26"/>
        </w:rPr>
        <w:t>Pulice</w:t>
      </w:r>
      <w:proofErr w:type="spellEnd"/>
      <w:r w:rsidR="007017D1">
        <w:rPr>
          <w:rFonts w:ascii="Times New Roman" w:hAnsi="Times New Roman" w:cs="Times New Roman"/>
          <w:sz w:val="26"/>
          <w:szCs w:val="26"/>
        </w:rPr>
        <w:t xml:space="preserve"> notified the City it was making a </w:t>
      </w:r>
      <w:r w:rsidR="00B808D7">
        <w:rPr>
          <w:rFonts w:ascii="Times New Roman" w:hAnsi="Times New Roman" w:cs="Times New Roman"/>
          <w:sz w:val="26"/>
          <w:szCs w:val="26"/>
        </w:rPr>
        <w:t xml:space="preserve">claim for additional compensation for increased rail traffic in the amount of $5,364,383. </w:t>
      </w:r>
    </w:p>
    <w:p w14:paraId="1FDBB2C4" w14:textId="7CC09719" w:rsidR="00B808D7" w:rsidRDefault="00B808D7" w:rsidP="00FB66B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City denied the claim as being untimely made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Pulice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filed a lawsuit in Pima County Superior Court. The trial court granted summary judgment to </w:t>
      </w:r>
      <w:r w:rsidR="00423164">
        <w:rPr>
          <w:rFonts w:ascii="Times New Roman" w:hAnsi="Times New Roman" w:cs="Times New Roman"/>
          <w:sz w:val="26"/>
          <w:szCs w:val="26"/>
        </w:rPr>
        <w:t>the City and the Court of Appeal</w:t>
      </w:r>
      <w:r w:rsidR="00FD0410">
        <w:rPr>
          <w:rFonts w:ascii="Times New Roman" w:hAnsi="Times New Roman" w:cs="Times New Roman"/>
          <w:sz w:val="26"/>
          <w:szCs w:val="26"/>
        </w:rPr>
        <w:t>s</w:t>
      </w:r>
      <w:r w:rsidR="00423164">
        <w:rPr>
          <w:rFonts w:ascii="Times New Roman" w:hAnsi="Times New Roman" w:cs="Times New Roman"/>
          <w:sz w:val="26"/>
          <w:szCs w:val="26"/>
        </w:rPr>
        <w:t xml:space="preserve"> upheld the decision in favor of the City. </w:t>
      </w:r>
    </w:p>
    <w:p w14:paraId="4528CF42" w14:textId="764912AB" w:rsidR="008B7EEA" w:rsidRDefault="00423164" w:rsidP="008B7EE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determining factor in the decision was that </w:t>
      </w:r>
      <w:proofErr w:type="spellStart"/>
      <w:r>
        <w:rPr>
          <w:rFonts w:ascii="Times New Roman" w:hAnsi="Times New Roman" w:cs="Times New Roman"/>
          <w:sz w:val="26"/>
          <w:szCs w:val="26"/>
        </w:rPr>
        <w:t>Pulice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failed to provide sufficient notice of its claim </w:t>
      </w:r>
      <w:r w:rsidR="00B804E6">
        <w:rPr>
          <w:rFonts w:ascii="Times New Roman" w:hAnsi="Times New Roman" w:cs="Times New Roman"/>
          <w:sz w:val="26"/>
          <w:szCs w:val="26"/>
        </w:rPr>
        <w:t xml:space="preserve">under the PAG Specifications. One PAG </w:t>
      </w:r>
      <w:r w:rsidR="009725BF">
        <w:rPr>
          <w:rFonts w:ascii="Times New Roman" w:hAnsi="Times New Roman" w:cs="Times New Roman"/>
          <w:sz w:val="26"/>
          <w:szCs w:val="26"/>
        </w:rPr>
        <w:t>S</w:t>
      </w:r>
      <w:r w:rsidR="00B804E6">
        <w:rPr>
          <w:rFonts w:ascii="Times New Roman" w:hAnsi="Times New Roman" w:cs="Times New Roman"/>
          <w:sz w:val="26"/>
          <w:szCs w:val="26"/>
        </w:rPr>
        <w:t xml:space="preserve">pec (Section 104-4) only requires a contractor to notify </w:t>
      </w:r>
      <w:r w:rsidR="009725BF">
        <w:rPr>
          <w:rFonts w:ascii="Times New Roman" w:hAnsi="Times New Roman" w:cs="Times New Roman"/>
          <w:sz w:val="26"/>
          <w:szCs w:val="26"/>
        </w:rPr>
        <w:t xml:space="preserve">the Engineer if an issue has been discovered (which </w:t>
      </w:r>
      <w:proofErr w:type="spellStart"/>
      <w:r w:rsidR="009725BF">
        <w:rPr>
          <w:rFonts w:ascii="Times New Roman" w:hAnsi="Times New Roman" w:cs="Times New Roman"/>
          <w:sz w:val="26"/>
          <w:szCs w:val="26"/>
        </w:rPr>
        <w:t>Pulice</w:t>
      </w:r>
      <w:proofErr w:type="spellEnd"/>
      <w:r w:rsidR="009725BF">
        <w:rPr>
          <w:rFonts w:ascii="Times New Roman" w:hAnsi="Times New Roman" w:cs="Times New Roman"/>
          <w:sz w:val="26"/>
          <w:szCs w:val="26"/>
        </w:rPr>
        <w:t xml:space="preserve"> did). However, </w:t>
      </w:r>
      <w:r w:rsidR="00B06C72">
        <w:rPr>
          <w:rFonts w:ascii="Times New Roman" w:hAnsi="Times New Roman" w:cs="Times New Roman"/>
          <w:sz w:val="26"/>
          <w:szCs w:val="26"/>
        </w:rPr>
        <w:t>the same section states that if an issue cannot be quickly resolved a second written notice must be given detailing the basis of the claim and including estimates of additional pay</w:t>
      </w:r>
      <w:r w:rsidR="002B2452">
        <w:rPr>
          <w:rFonts w:ascii="Times New Roman" w:hAnsi="Times New Roman" w:cs="Times New Roman"/>
          <w:sz w:val="26"/>
          <w:szCs w:val="26"/>
        </w:rPr>
        <w:t xml:space="preserve"> items that may be affected by the issue.</w:t>
      </w:r>
      <w:r w:rsidR="008B7E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7EEA">
        <w:rPr>
          <w:rFonts w:ascii="Times New Roman" w:hAnsi="Times New Roman" w:cs="Times New Roman"/>
          <w:sz w:val="26"/>
          <w:szCs w:val="26"/>
        </w:rPr>
        <w:t>Pulice</w:t>
      </w:r>
      <w:proofErr w:type="spellEnd"/>
      <w:r w:rsidR="008B7EEA">
        <w:rPr>
          <w:rFonts w:ascii="Times New Roman" w:hAnsi="Times New Roman" w:cs="Times New Roman"/>
          <w:sz w:val="26"/>
          <w:szCs w:val="26"/>
        </w:rPr>
        <w:t xml:space="preserve"> failed to </w:t>
      </w:r>
      <w:r w:rsidR="00FD0410">
        <w:rPr>
          <w:rFonts w:ascii="Times New Roman" w:hAnsi="Times New Roman" w:cs="Times New Roman"/>
          <w:sz w:val="26"/>
          <w:szCs w:val="26"/>
        </w:rPr>
        <w:t xml:space="preserve">timely </w:t>
      </w:r>
      <w:r w:rsidR="008B7EEA">
        <w:rPr>
          <w:rFonts w:ascii="Times New Roman" w:hAnsi="Times New Roman" w:cs="Times New Roman"/>
          <w:sz w:val="26"/>
          <w:szCs w:val="26"/>
        </w:rPr>
        <w:t xml:space="preserve">submit a written notice of the estimated increased costs/claims. </w:t>
      </w:r>
    </w:p>
    <w:p w14:paraId="40375A03" w14:textId="4D5C164F" w:rsidR="008B7EEA" w:rsidRDefault="008B7EEA" w:rsidP="008B7EEA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Pulice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argued that Section 104-4 didn’t apply and that Section </w:t>
      </w:r>
      <w:r w:rsidR="00592EF7">
        <w:rPr>
          <w:rFonts w:ascii="Times New Roman" w:hAnsi="Times New Roman" w:cs="Times New Roman"/>
          <w:sz w:val="26"/>
          <w:szCs w:val="26"/>
        </w:rPr>
        <w:t xml:space="preserve">105-18.01 did apply, which simply required them to bring the issue to the attention of the Engineer (which they did). But the Court noted Section 105-18.01 also requires the contractor to </w:t>
      </w:r>
      <w:r w:rsidR="00592EF7">
        <w:rPr>
          <w:rFonts w:ascii="Times New Roman" w:hAnsi="Times New Roman" w:cs="Times New Roman"/>
          <w:sz w:val="26"/>
          <w:szCs w:val="26"/>
        </w:rPr>
        <w:lastRenderedPageBreak/>
        <w:t xml:space="preserve">provide </w:t>
      </w:r>
      <w:r w:rsidR="00851588">
        <w:rPr>
          <w:rFonts w:ascii="Times New Roman" w:hAnsi="Times New Roman" w:cs="Times New Roman"/>
          <w:sz w:val="26"/>
          <w:szCs w:val="26"/>
        </w:rPr>
        <w:t>a</w:t>
      </w:r>
      <w:r w:rsidR="00592EF7">
        <w:rPr>
          <w:rFonts w:ascii="Times New Roman" w:hAnsi="Times New Roman" w:cs="Times New Roman"/>
          <w:sz w:val="26"/>
          <w:szCs w:val="26"/>
        </w:rPr>
        <w:t xml:space="preserve"> written notice of claim </w:t>
      </w:r>
      <w:r w:rsidR="00851588" w:rsidRPr="00851588">
        <w:rPr>
          <w:rFonts w:ascii="Times New Roman" w:hAnsi="Times New Roman" w:cs="Times New Roman"/>
          <w:sz w:val="26"/>
          <w:szCs w:val="26"/>
          <w:u w:val="single"/>
        </w:rPr>
        <w:t>before starting the work</w:t>
      </w:r>
      <w:r w:rsidR="00851588">
        <w:rPr>
          <w:rFonts w:ascii="Times New Roman" w:hAnsi="Times New Roman" w:cs="Times New Roman"/>
          <w:sz w:val="26"/>
          <w:szCs w:val="26"/>
        </w:rPr>
        <w:t xml:space="preserve"> on which the claim is based. Here, </w:t>
      </w:r>
      <w:proofErr w:type="spellStart"/>
      <w:r w:rsidR="00851588">
        <w:rPr>
          <w:rFonts w:ascii="Times New Roman" w:hAnsi="Times New Roman" w:cs="Times New Roman"/>
          <w:sz w:val="26"/>
          <w:szCs w:val="26"/>
        </w:rPr>
        <w:t>Pulice</w:t>
      </w:r>
      <w:proofErr w:type="spellEnd"/>
      <w:r w:rsidR="00851588">
        <w:rPr>
          <w:rFonts w:ascii="Times New Roman" w:hAnsi="Times New Roman" w:cs="Times New Roman"/>
          <w:sz w:val="26"/>
          <w:szCs w:val="26"/>
        </w:rPr>
        <w:t xml:space="preserve"> did not submit its written claim until 18 months after it learned of the error and after it had completed the work. </w:t>
      </w:r>
    </w:p>
    <w:p w14:paraId="672A8CE5" w14:textId="77777777" w:rsidR="00797939" w:rsidRDefault="00CD2C93" w:rsidP="008B7EE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9388C">
        <w:rPr>
          <w:rFonts w:ascii="Times New Roman" w:hAnsi="Times New Roman" w:cs="Times New Roman"/>
          <w:sz w:val="26"/>
          <w:szCs w:val="26"/>
          <w:u w:val="single"/>
        </w:rPr>
        <w:t>The bottom line: informing the governmental entity of a discrepancy in the work or a possible claim is not the same as making a claim under the state laws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41420">
        <w:rPr>
          <w:rFonts w:ascii="Times New Roman" w:hAnsi="Times New Roman" w:cs="Times New Roman"/>
          <w:sz w:val="26"/>
          <w:szCs w:val="26"/>
        </w:rPr>
        <w:t xml:space="preserve">The City had a right to know that it faced a claim for additional costs so it could “compile records of the contractor’s costs” or to “consider alternate methods of construction that may cut costs.” </w:t>
      </w:r>
      <w:r w:rsidR="00F44F63">
        <w:rPr>
          <w:rFonts w:ascii="Times New Roman" w:hAnsi="Times New Roman" w:cs="Times New Roman"/>
          <w:sz w:val="26"/>
          <w:szCs w:val="26"/>
        </w:rPr>
        <w:t xml:space="preserve">The Court concluded that </w:t>
      </w:r>
      <w:proofErr w:type="spellStart"/>
      <w:r w:rsidR="00F44F63">
        <w:rPr>
          <w:rFonts w:ascii="Times New Roman" w:hAnsi="Times New Roman" w:cs="Times New Roman"/>
          <w:sz w:val="26"/>
          <w:szCs w:val="26"/>
        </w:rPr>
        <w:t>Pulice</w:t>
      </w:r>
      <w:proofErr w:type="spellEnd"/>
      <w:r w:rsidR="00F44F63">
        <w:rPr>
          <w:rFonts w:ascii="Times New Roman" w:hAnsi="Times New Roman" w:cs="Times New Roman"/>
          <w:sz w:val="26"/>
          <w:szCs w:val="26"/>
        </w:rPr>
        <w:t xml:space="preserve"> deprived the City of the opportunity to track or mitigate any claimed delay damages. </w:t>
      </w:r>
    </w:p>
    <w:p w14:paraId="60D0B5F4" w14:textId="34AA0E16" w:rsidR="00CD2C93" w:rsidRDefault="00797939" w:rsidP="008B7EE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addition to the PAG notice requirements, the Court also noted that u</w:t>
      </w:r>
      <w:r w:rsidR="00056C04">
        <w:rPr>
          <w:rFonts w:ascii="Times New Roman" w:hAnsi="Times New Roman" w:cs="Times New Roman"/>
          <w:sz w:val="26"/>
          <w:szCs w:val="26"/>
        </w:rPr>
        <w:t>nder A.R.S. Section 12-821.01, a party is required to assert a claim against the government within 180 days of when it knew or reasonably should have known</w:t>
      </w:r>
      <w:r w:rsidR="000C787F">
        <w:rPr>
          <w:rFonts w:ascii="Times New Roman" w:hAnsi="Times New Roman" w:cs="Times New Roman"/>
          <w:sz w:val="26"/>
          <w:szCs w:val="26"/>
        </w:rPr>
        <w:t xml:space="preserve"> the cause of the damages. </w:t>
      </w:r>
    </w:p>
    <w:p w14:paraId="2B42955B" w14:textId="77777777" w:rsidR="002B2452" w:rsidRPr="0058152A" w:rsidRDefault="002B2452" w:rsidP="00FB66B7">
      <w:pPr>
        <w:ind w:firstLine="720"/>
        <w:rPr>
          <w:rFonts w:ascii="Times New Roman" w:hAnsi="Times New Roman" w:cs="Times New Roman"/>
          <w:sz w:val="26"/>
          <w:szCs w:val="26"/>
        </w:rPr>
      </w:pPr>
    </w:p>
    <w:sectPr w:rsidR="002B2452" w:rsidRPr="005815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60BF" w14:textId="77777777" w:rsidR="00F42A64" w:rsidRDefault="00F42A64" w:rsidP="00F42A64">
      <w:pPr>
        <w:spacing w:after="0" w:line="240" w:lineRule="auto"/>
      </w:pPr>
      <w:r>
        <w:separator/>
      </w:r>
    </w:p>
  </w:endnote>
  <w:endnote w:type="continuationSeparator" w:id="0">
    <w:p w14:paraId="4B77F3DF" w14:textId="77777777" w:rsidR="00F42A64" w:rsidRDefault="00F42A64" w:rsidP="00F4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C301" w14:textId="0533718E" w:rsidR="0090473A" w:rsidRDefault="0090473A" w:rsidP="0090473A">
    <w:pPr>
      <w:pStyle w:val="Footer"/>
      <w:jc w:val="center"/>
      <w:rPr>
        <w:noProof/>
        <w:vanish/>
        <w:sz w:val="16"/>
      </w:rPr>
    </w:pPr>
    <w:r>
      <w:rPr>
        <w:noProof/>
        <w:vanish/>
        <w:sz w:val="16"/>
      </w:rPr>
      <w:drawing>
        <wp:inline distT="0" distB="0" distL="0" distR="0" wp14:anchorId="08A0736C" wp14:editId="0E619553">
          <wp:extent cx="1905000" cy="4029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72" cy="41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C9FF7" w14:textId="5F4B1F6C" w:rsidR="00F42A64" w:rsidRPr="0090473A" w:rsidRDefault="0090473A" w:rsidP="0090473A">
    <w:pPr>
      <w:pStyle w:val="Footer"/>
      <w:tabs>
        <w:tab w:val="left" w:pos="6720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vanish/>
        <w:sz w:val="24"/>
        <w:szCs w:val="36"/>
      </w:rPr>
      <w:t>neckel@farhangmedcoff.com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71B4" w14:textId="77777777" w:rsidR="00F42A64" w:rsidRDefault="00F42A64" w:rsidP="00F42A64">
      <w:pPr>
        <w:spacing w:after="0" w:line="240" w:lineRule="auto"/>
      </w:pPr>
      <w:r>
        <w:separator/>
      </w:r>
    </w:p>
  </w:footnote>
  <w:footnote w:type="continuationSeparator" w:id="0">
    <w:p w14:paraId="4E33A385" w14:textId="77777777" w:rsidR="00F42A64" w:rsidRDefault="00F42A64" w:rsidP="00F42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2A"/>
    <w:rsid w:val="00035315"/>
    <w:rsid w:val="00056C04"/>
    <w:rsid w:val="00081839"/>
    <w:rsid w:val="000A3836"/>
    <w:rsid w:val="000C787F"/>
    <w:rsid w:val="00144BE8"/>
    <w:rsid w:val="002039D7"/>
    <w:rsid w:val="0029388C"/>
    <w:rsid w:val="002B2452"/>
    <w:rsid w:val="003A5654"/>
    <w:rsid w:val="00423164"/>
    <w:rsid w:val="00500CD9"/>
    <w:rsid w:val="0058152A"/>
    <w:rsid w:val="00592EF7"/>
    <w:rsid w:val="005B6D17"/>
    <w:rsid w:val="00680CAE"/>
    <w:rsid w:val="007017D1"/>
    <w:rsid w:val="0079163C"/>
    <w:rsid w:val="00797939"/>
    <w:rsid w:val="008021D5"/>
    <w:rsid w:val="00851588"/>
    <w:rsid w:val="008636E7"/>
    <w:rsid w:val="008B6D52"/>
    <w:rsid w:val="008B7EEA"/>
    <w:rsid w:val="0090473A"/>
    <w:rsid w:val="00941420"/>
    <w:rsid w:val="009725BF"/>
    <w:rsid w:val="009E4C46"/>
    <w:rsid w:val="00A21C32"/>
    <w:rsid w:val="00B06C72"/>
    <w:rsid w:val="00B236C6"/>
    <w:rsid w:val="00B804E6"/>
    <w:rsid w:val="00B808D7"/>
    <w:rsid w:val="00C445FE"/>
    <w:rsid w:val="00CD2C93"/>
    <w:rsid w:val="00CF38BD"/>
    <w:rsid w:val="00F42A64"/>
    <w:rsid w:val="00F44F63"/>
    <w:rsid w:val="00FB66B7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B86A59"/>
  <w15:chartTrackingRefBased/>
  <w15:docId w15:val="{B1C3AEFD-DB02-4CD7-8759-F869D38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A64"/>
  </w:style>
  <w:style w:type="paragraph" w:styleId="Footer">
    <w:name w:val="footer"/>
    <w:basedOn w:val="Normal"/>
    <w:link w:val="FooterChar"/>
    <w:uiPriority w:val="99"/>
    <w:unhideWhenUsed/>
    <w:rsid w:val="00F4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A64"/>
  </w:style>
  <w:style w:type="character" w:styleId="Hyperlink">
    <w:name w:val="Hyperlink"/>
    <w:basedOn w:val="DefaultParagraphFont"/>
    <w:uiPriority w:val="99"/>
    <w:unhideWhenUsed/>
    <w:rsid w:val="00904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4</DocSecurity>
  <PresentationFormat>15|.DOCX</PresentationFormat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00839041.1</dc:subject>
  <dc:creator>Neal Eckel</dc:creator>
  <cp:keywords/>
  <dc:description/>
  <cp:lastModifiedBy>Debbie Carlson</cp:lastModifiedBy>
  <cp:revision>2</cp:revision>
  <cp:lastPrinted>2021-12-03T20:29:00Z</cp:lastPrinted>
  <dcterms:created xsi:type="dcterms:W3CDTF">2021-12-03T20:29:00Z</dcterms:created>
  <dcterms:modified xsi:type="dcterms:W3CDTF">2021-12-03T20:29:00Z</dcterms:modified>
</cp:coreProperties>
</file>