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D6D1A" w14:textId="77777777" w:rsidR="00CC2C31" w:rsidRDefault="00EB0BD2" w:rsidP="00C153D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From: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Neal Eckel</w:t>
      </w:r>
    </w:p>
    <w:p w14:paraId="3BB518B8" w14:textId="024F99D7" w:rsidR="00EB0BD2" w:rsidRDefault="00CC2C31" w:rsidP="00CC2C31">
      <w:pPr>
        <w:spacing w:after="0" w:line="240" w:lineRule="auto"/>
        <w:ind w:left="72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Farhang &amp; Medcoff</w:t>
      </w:r>
    </w:p>
    <w:p w14:paraId="19042A97" w14:textId="3600CAB1" w:rsidR="00EB0BD2" w:rsidRDefault="00EB0BD2" w:rsidP="00C153D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To: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ABA Advisory Board</w:t>
      </w:r>
      <w:r w:rsidR="00CC2C31">
        <w:rPr>
          <w:rFonts w:ascii="Times New Roman" w:hAnsi="Times New Roman" w:cs="Times New Roman"/>
          <w:sz w:val="26"/>
          <w:szCs w:val="26"/>
        </w:rPr>
        <w:t xml:space="preserve"> – Legal Update</w:t>
      </w:r>
    </w:p>
    <w:p w14:paraId="151F53F7" w14:textId="20DDF871" w:rsidR="00EB0BD2" w:rsidRDefault="00EB0BD2" w:rsidP="00C153D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Date: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3/10/21</w:t>
      </w:r>
    </w:p>
    <w:p w14:paraId="59C40E4B" w14:textId="77777777" w:rsidR="00CC2C31" w:rsidRPr="00EB0BD2" w:rsidRDefault="00CC2C31" w:rsidP="00C153D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EDF2672" w14:textId="55F41993" w:rsidR="00EA4FF2" w:rsidRPr="00ED31DA" w:rsidRDefault="00EA4FF2" w:rsidP="0000607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6"/>
          <w:szCs w:val="26"/>
        </w:rPr>
      </w:pPr>
      <w:r w:rsidRPr="00ED31D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SHEA CONNELLY V ROC </w:t>
      </w:r>
      <w:r w:rsidRPr="00971092">
        <w:rPr>
          <w:rFonts w:ascii="Times New Roman" w:hAnsi="Times New Roman" w:cs="Times New Roman"/>
          <w:b/>
          <w:bCs/>
          <w:sz w:val="26"/>
          <w:szCs w:val="26"/>
          <w:u w:val="single"/>
        </w:rPr>
        <w:t>COURT OF APPEAL</w:t>
      </w:r>
      <w:r w:rsidR="00971092" w:rsidRPr="00971092">
        <w:rPr>
          <w:rFonts w:ascii="Times New Roman" w:hAnsi="Times New Roman" w:cs="Times New Roman"/>
          <w:b/>
          <w:bCs/>
          <w:sz w:val="26"/>
          <w:szCs w:val="26"/>
          <w:u w:val="single"/>
        </w:rPr>
        <w:t>S</w:t>
      </w:r>
      <w:r w:rsidRPr="00971092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DECISION</w:t>
      </w:r>
      <w:r w:rsidRPr="00ED31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5B1FF845" w14:textId="6ACCD39D" w:rsidR="004E23F4" w:rsidRPr="00EA4FF2" w:rsidRDefault="0099083D" w:rsidP="00EA4FF2">
      <w:pPr>
        <w:rPr>
          <w:rFonts w:ascii="Times New Roman" w:hAnsi="Times New Roman" w:cs="Times New Roman"/>
          <w:sz w:val="26"/>
          <w:szCs w:val="26"/>
        </w:rPr>
      </w:pPr>
      <w:r w:rsidRPr="00EA4FF2">
        <w:rPr>
          <w:rFonts w:ascii="Times New Roman" w:hAnsi="Times New Roman" w:cs="Times New Roman"/>
          <w:sz w:val="26"/>
          <w:szCs w:val="26"/>
        </w:rPr>
        <w:t xml:space="preserve">The Arizona Court of Appeals issued a decision in </w:t>
      </w:r>
      <w:r w:rsidR="00955CE7" w:rsidRPr="00EA4FF2">
        <w:rPr>
          <w:rFonts w:ascii="Times New Roman" w:hAnsi="Times New Roman" w:cs="Times New Roman"/>
          <w:sz w:val="26"/>
          <w:szCs w:val="26"/>
          <w:u w:val="single"/>
        </w:rPr>
        <w:t xml:space="preserve">Shea Connelly Dev. v. </w:t>
      </w:r>
      <w:r w:rsidRPr="00EA4FF2">
        <w:rPr>
          <w:rFonts w:ascii="Times New Roman" w:hAnsi="Times New Roman" w:cs="Times New Roman"/>
          <w:sz w:val="26"/>
          <w:szCs w:val="26"/>
          <w:u w:val="single"/>
        </w:rPr>
        <w:t>Arizona Registrar of Contractors</w:t>
      </w:r>
      <w:r w:rsidR="006E1E3A" w:rsidRPr="00EA4FF2">
        <w:rPr>
          <w:rFonts w:ascii="Times New Roman" w:hAnsi="Times New Roman" w:cs="Times New Roman"/>
          <w:sz w:val="26"/>
          <w:szCs w:val="26"/>
        </w:rPr>
        <w:t xml:space="preserve"> </w:t>
      </w:r>
      <w:r w:rsidRPr="00EA4FF2">
        <w:rPr>
          <w:rFonts w:ascii="Times New Roman" w:hAnsi="Times New Roman" w:cs="Times New Roman"/>
          <w:sz w:val="26"/>
          <w:szCs w:val="26"/>
        </w:rPr>
        <w:t>which has implications for general contrac</w:t>
      </w:r>
      <w:r w:rsidR="004502DD" w:rsidRPr="00EA4FF2">
        <w:rPr>
          <w:rFonts w:ascii="Times New Roman" w:hAnsi="Times New Roman" w:cs="Times New Roman"/>
          <w:sz w:val="26"/>
          <w:szCs w:val="26"/>
        </w:rPr>
        <w:t xml:space="preserve">tors, </w:t>
      </w:r>
      <w:proofErr w:type="gramStart"/>
      <w:r w:rsidR="004502DD" w:rsidRPr="00EA4FF2">
        <w:rPr>
          <w:rFonts w:ascii="Times New Roman" w:hAnsi="Times New Roman" w:cs="Times New Roman"/>
          <w:sz w:val="26"/>
          <w:szCs w:val="26"/>
        </w:rPr>
        <w:t>subcontractors</w:t>
      </w:r>
      <w:proofErr w:type="gramEnd"/>
      <w:r w:rsidR="004502DD" w:rsidRPr="00EA4FF2">
        <w:rPr>
          <w:rFonts w:ascii="Times New Roman" w:hAnsi="Times New Roman" w:cs="Times New Roman"/>
          <w:sz w:val="26"/>
          <w:szCs w:val="26"/>
        </w:rPr>
        <w:t xml:space="preserve"> and suppliers on </w:t>
      </w:r>
      <w:r w:rsidR="00CF0B45" w:rsidRPr="00EA4FF2">
        <w:rPr>
          <w:rFonts w:ascii="Times New Roman" w:hAnsi="Times New Roman" w:cs="Times New Roman"/>
          <w:sz w:val="26"/>
          <w:szCs w:val="26"/>
        </w:rPr>
        <w:t xml:space="preserve">enforcement of payment issues under the Prompt Pay Act (A.R.S. Section 32-1181 et seq.) While the decision is unpublished (meaning it </w:t>
      </w:r>
      <w:proofErr w:type="gramStart"/>
      <w:r w:rsidR="00CF0B45" w:rsidRPr="00EA4FF2">
        <w:rPr>
          <w:rFonts w:ascii="Times New Roman" w:hAnsi="Times New Roman" w:cs="Times New Roman"/>
          <w:sz w:val="26"/>
          <w:szCs w:val="26"/>
        </w:rPr>
        <w:t>can’t</w:t>
      </w:r>
      <w:proofErr w:type="gramEnd"/>
      <w:r w:rsidR="00CF0B45" w:rsidRPr="00EA4FF2">
        <w:rPr>
          <w:rFonts w:ascii="Times New Roman" w:hAnsi="Times New Roman" w:cs="Times New Roman"/>
          <w:sz w:val="26"/>
          <w:szCs w:val="26"/>
        </w:rPr>
        <w:t xml:space="preserve"> be cited </w:t>
      </w:r>
      <w:r w:rsidR="006334FD" w:rsidRPr="00EA4FF2">
        <w:rPr>
          <w:rFonts w:ascii="Times New Roman" w:hAnsi="Times New Roman" w:cs="Times New Roman"/>
          <w:sz w:val="26"/>
          <w:szCs w:val="26"/>
        </w:rPr>
        <w:t xml:space="preserve">as precedent) it is still instructive on how the ROC and courts apply the Prompt Pay Act. </w:t>
      </w:r>
    </w:p>
    <w:p w14:paraId="155E1A5A" w14:textId="508BDA07" w:rsidR="00955CE7" w:rsidRDefault="00C153D8" w:rsidP="00EA4FF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In the </w:t>
      </w:r>
      <w:r w:rsidRPr="00C153D8">
        <w:rPr>
          <w:rFonts w:ascii="Times New Roman" w:hAnsi="Times New Roman" w:cs="Times New Roman"/>
          <w:sz w:val="26"/>
          <w:szCs w:val="26"/>
          <w:u w:val="single"/>
        </w:rPr>
        <w:t>Shea Connelly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case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the </w:t>
      </w:r>
      <w:r w:rsidR="00955CE7">
        <w:rPr>
          <w:rFonts w:ascii="Times New Roman" w:hAnsi="Times New Roman" w:cs="Times New Roman"/>
          <w:sz w:val="26"/>
          <w:szCs w:val="26"/>
        </w:rPr>
        <w:t xml:space="preserve">GC and sub entered into two separate contracts on two separate projects. The subcontracts on both projects </w:t>
      </w:r>
      <w:r w:rsidR="00DD3C1A">
        <w:rPr>
          <w:rFonts w:ascii="Times New Roman" w:hAnsi="Times New Roman" w:cs="Times New Roman"/>
          <w:sz w:val="26"/>
          <w:szCs w:val="26"/>
        </w:rPr>
        <w:t xml:space="preserve">provided that a default by the sub on one project would be deemed a default on all subcontracts. </w:t>
      </w:r>
    </w:p>
    <w:p w14:paraId="31EAA98B" w14:textId="281FEBEE" w:rsidR="00B46C4C" w:rsidRDefault="00DD3C1A" w:rsidP="00EA4FF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Sub received partial payment on Project 1 (although no work was done) and performed work on Project 2</w:t>
      </w:r>
      <w:r w:rsidR="00BD2A75">
        <w:rPr>
          <w:rFonts w:ascii="Times New Roman" w:hAnsi="Times New Roman" w:cs="Times New Roman"/>
          <w:sz w:val="26"/>
          <w:szCs w:val="26"/>
        </w:rPr>
        <w:t xml:space="preserve"> and billed for that work. GC determined that the work on Project 2 was deficient and terminated sub on both projects. GC </w:t>
      </w:r>
      <w:r w:rsidR="00BD2A75" w:rsidRPr="00D87900">
        <w:rPr>
          <w:rFonts w:ascii="Times New Roman" w:hAnsi="Times New Roman" w:cs="Times New Roman"/>
          <w:sz w:val="26"/>
          <w:szCs w:val="26"/>
          <w:u w:val="single"/>
        </w:rPr>
        <w:t>did not</w:t>
      </w:r>
      <w:r w:rsidR="00BD2A75">
        <w:rPr>
          <w:rFonts w:ascii="Times New Roman" w:hAnsi="Times New Roman" w:cs="Times New Roman"/>
          <w:sz w:val="26"/>
          <w:szCs w:val="26"/>
        </w:rPr>
        <w:t xml:space="preserve"> </w:t>
      </w:r>
      <w:r w:rsidR="00095339">
        <w:rPr>
          <w:rFonts w:ascii="Times New Roman" w:hAnsi="Times New Roman" w:cs="Times New Roman"/>
          <w:sz w:val="26"/>
          <w:szCs w:val="26"/>
        </w:rPr>
        <w:t xml:space="preserve">provide a written notice to sub under the Prompt Pay Act </w:t>
      </w:r>
      <w:r w:rsidR="00C80EE3">
        <w:rPr>
          <w:rFonts w:ascii="Times New Roman" w:hAnsi="Times New Roman" w:cs="Times New Roman"/>
          <w:sz w:val="26"/>
          <w:szCs w:val="26"/>
        </w:rPr>
        <w:t xml:space="preserve">(PPA) </w:t>
      </w:r>
      <w:r w:rsidR="00095339">
        <w:rPr>
          <w:rFonts w:ascii="Times New Roman" w:hAnsi="Times New Roman" w:cs="Times New Roman"/>
          <w:sz w:val="26"/>
          <w:szCs w:val="26"/>
        </w:rPr>
        <w:t xml:space="preserve">disputing in detail the reasons for non-payment on Project 2. </w:t>
      </w:r>
    </w:p>
    <w:p w14:paraId="5E6C538E" w14:textId="67D50392" w:rsidR="00DD3C1A" w:rsidRDefault="00B46C4C" w:rsidP="00EA4FF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Sub filed a complaint for non-payment with the ROC and as defenses to the claim the GC alleged the rights of accord and satisfaction and offset</w:t>
      </w:r>
      <w:r w:rsidR="00597BED">
        <w:rPr>
          <w:rFonts w:ascii="Times New Roman" w:hAnsi="Times New Roman" w:cs="Times New Roman"/>
          <w:sz w:val="26"/>
          <w:szCs w:val="26"/>
        </w:rPr>
        <w:t xml:space="preserve">, </w:t>
      </w:r>
      <w:r w:rsidR="00095339">
        <w:rPr>
          <w:rFonts w:ascii="Times New Roman" w:hAnsi="Times New Roman" w:cs="Times New Roman"/>
          <w:sz w:val="26"/>
          <w:szCs w:val="26"/>
        </w:rPr>
        <w:t>claim</w:t>
      </w:r>
      <w:r w:rsidR="00597BED">
        <w:rPr>
          <w:rFonts w:ascii="Times New Roman" w:hAnsi="Times New Roman" w:cs="Times New Roman"/>
          <w:sz w:val="26"/>
          <w:szCs w:val="26"/>
        </w:rPr>
        <w:t>ing</w:t>
      </w:r>
      <w:r w:rsidR="00095339">
        <w:rPr>
          <w:rFonts w:ascii="Times New Roman" w:hAnsi="Times New Roman" w:cs="Times New Roman"/>
          <w:sz w:val="26"/>
          <w:szCs w:val="26"/>
        </w:rPr>
        <w:t xml:space="preserve"> the partial payment on Project 1 </w:t>
      </w:r>
      <w:r w:rsidR="00597BED">
        <w:rPr>
          <w:rFonts w:ascii="Times New Roman" w:hAnsi="Times New Roman" w:cs="Times New Roman"/>
          <w:sz w:val="26"/>
          <w:szCs w:val="26"/>
        </w:rPr>
        <w:t xml:space="preserve">could be applied to the amounts owing on Project 2. </w:t>
      </w:r>
    </w:p>
    <w:p w14:paraId="71F6F099" w14:textId="6DF5C4F3" w:rsidR="00597BED" w:rsidRDefault="00597BED" w:rsidP="00EA4FF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 ROC rejected these arguments and found that GC’s failure to provide written notice detailing</w:t>
      </w:r>
      <w:r w:rsidR="00871153">
        <w:rPr>
          <w:rFonts w:ascii="Times New Roman" w:hAnsi="Times New Roman" w:cs="Times New Roman"/>
          <w:sz w:val="26"/>
          <w:szCs w:val="26"/>
        </w:rPr>
        <w:t xml:space="preserve"> the reason for non-payment on Project 2 </w:t>
      </w:r>
      <w:r w:rsidR="00C80EE3">
        <w:rPr>
          <w:rFonts w:ascii="Times New Roman" w:hAnsi="Times New Roman" w:cs="Times New Roman"/>
          <w:sz w:val="26"/>
          <w:szCs w:val="26"/>
        </w:rPr>
        <w:t>was a violation of payment rights under</w:t>
      </w:r>
      <w:r w:rsidR="00871153">
        <w:rPr>
          <w:rFonts w:ascii="Times New Roman" w:hAnsi="Times New Roman" w:cs="Times New Roman"/>
          <w:sz w:val="26"/>
          <w:szCs w:val="26"/>
        </w:rPr>
        <w:t xml:space="preserve"> the </w:t>
      </w:r>
      <w:r w:rsidR="00C80EE3">
        <w:rPr>
          <w:rFonts w:ascii="Times New Roman" w:hAnsi="Times New Roman" w:cs="Times New Roman"/>
          <w:sz w:val="26"/>
          <w:szCs w:val="26"/>
        </w:rPr>
        <w:t>PPA</w:t>
      </w:r>
      <w:r w:rsidR="00871153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871153">
        <w:rPr>
          <w:rFonts w:ascii="Times New Roman" w:hAnsi="Times New Roman" w:cs="Times New Roman"/>
          <w:sz w:val="26"/>
          <w:szCs w:val="26"/>
        </w:rPr>
        <w:t>Accordingly</w:t>
      </w:r>
      <w:proofErr w:type="gramEnd"/>
      <w:r w:rsidR="00871153">
        <w:rPr>
          <w:rFonts w:ascii="Times New Roman" w:hAnsi="Times New Roman" w:cs="Times New Roman"/>
          <w:sz w:val="26"/>
          <w:szCs w:val="26"/>
        </w:rPr>
        <w:t xml:space="preserve"> the ROC suspended GC’s license for non-payment. </w:t>
      </w:r>
    </w:p>
    <w:p w14:paraId="5599DC37" w14:textId="1A489C64" w:rsidR="00871153" w:rsidRDefault="00871153" w:rsidP="00EA4FF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The Court of Appeals upheld the ROC’s ruling, finding that </w:t>
      </w:r>
      <w:r w:rsidR="00780FE5">
        <w:rPr>
          <w:rFonts w:ascii="Times New Roman" w:hAnsi="Times New Roman" w:cs="Times New Roman"/>
          <w:sz w:val="26"/>
          <w:szCs w:val="26"/>
        </w:rPr>
        <w:t xml:space="preserve">1) accord and satisfaction does not apply because it alters a sub’s statutory right to receive prompt payment; and 2) </w:t>
      </w:r>
      <w:r w:rsidR="00AD3200">
        <w:rPr>
          <w:rFonts w:ascii="Times New Roman" w:hAnsi="Times New Roman" w:cs="Times New Roman"/>
          <w:sz w:val="26"/>
          <w:szCs w:val="26"/>
        </w:rPr>
        <w:t xml:space="preserve">offset did not apply because </w:t>
      </w:r>
      <w:r w:rsidR="007B0549">
        <w:rPr>
          <w:rFonts w:ascii="Times New Roman" w:hAnsi="Times New Roman" w:cs="Times New Roman"/>
          <w:sz w:val="26"/>
          <w:szCs w:val="26"/>
        </w:rPr>
        <w:t>the ROC is not a forum for litigating contract rights and obligations</w:t>
      </w:r>
      <w:r w:rsidR="00C33F82">
        <w:rPr>
          <w:rFonts w:ascii="Times New Roman" w:hAnsi="Times New Roman" w:cs="Times New Roman"/>
          <w:sz w:val="26"/>
          <w:szCs w:val="26"/>
        </w:rPr>
        <w:t xml:space="preserve">. The </w:t>
      </w:r>
      <w:r w:rsidR="00C80EE3">
        <w:rPr>
          <w:rFonts w:ascii="Times New Roman" w:hAnsi="Times New Roman" w:cs="Times New Roman"/>
          <w:sz w:val="26"/>
          <w:szCs w:val="26"/>
        </w:rPr>
        <w:t>PPA</w:t>
      </w:r>
      <w:r w:rsidR="00C33F82">
        <w:rPr>
          <w:rFonts w:ascii="Times New Roman" w:hAnsi="Times New Roman" w:cs="Times New Roman"/>
          <w:sz w:val="26"/>
          <w:szCs w:val="26"/>
        </w:rPr>
        <w:t xml:space="preserve"> establishes a statutory framework for ensuring timely payments; allowing a GC to bring a counterclaim or other right outside the PPA </w:t>
      </w:r>
      <w:r w:rsidR="00231DF8">
        <w:rPr>
          <w:rFonts w:ascii="Times New Roman" w:hAnsi="Times New Roman" w:cs="Times New Roman"/>
          <w:sz w:val="26"/>
          <w:szCs w:val="26"/>
        </w:rPr>
        <w:t xml:space="preserve">would “inflate a simple prompt payment proceeding before an ALJ to full civil litigation better suited to the superior court.” </w:t>
      </w:r>
    </w:p>
    <w:p w14:paraId="0E67EAEA" w14:textId="701C661D" w:rsidR="00231DF8" w:rsidRDefault="00231DF8">
      <w:pPr>
        <w:rPr>
          <w:rFonts w:ascii="Times New Roman" w:hAnsi="Times New Roman" w:cs="Times New Roman"/>
          <w:sz w:val="26"/>
          <w:szCs w:val="26"/>
        </w:rPr>
      </w:pPr>
      <w:r w:rsidRPr="00101E43">
        <w:rPr>
          <w:rFonts w:ascii="Times New Roman" w:hAnsi="Times New Roman" w:cs="Times New Roman"/>
          <w:sz w:val="26"/>
          <w:szCs w:val="26"/>
          <w:u w:val="single"/>
        </w:rPr>
        <w:t>TAKEAWAYS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017871A2" w14:textId="397D7B48" w:rsidR="00231DF8" w:rsidRDefault="00231DF8" w:rsidP="00231D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If you are a GC disputing a sub</w:t>
      </w:r>
      <w:r w:rsidR="004F2ADF">
        <w:rPr>
          <w:rFonts w:ascii="Times New Roman" w:hAnsi="Times New Roman" w:cs="Times New Roman"/>
          <w:sz w:val="26"/>
          <w:szCs w:val="26"/>
        </w:rPr>
        <w:t>’</w:t>
      </w:r>
      <w:r>
        <w:rPr>
          <w:rFonts w:ascii="Times New Roman" w:hAnsi="Times New Roman" w:cs="Times New Roman"/>
          <w:sz w:val="26"/>
          <w:szCs w:val="26"/>
        </w:rPr>
        <w:t xml:space="preserve">s billing or a sub disputing a </w:t>
      </w:r>
      <w:r w:rsidR="004F2ADF">
        <w:rPr>
          <w:rFonts w:ascii="Times New Roman" w:hAnsi="Times New Roman" w:cs="Times New Roman"/>
          <w:sz w:val="26"/>
          <w:szCs w:val="26"/>
        </w:rPr>
        <w:t>sub-sub’s or suppliers’ billing you must provide detailed written notice within 14 days of receipt of the billing, otherwise it is deemed certified and approved</w:t>
      </w:r>
      <w:r w:rsidR="008D6B31">
        <w:rPr>
          <w:rFonts w:ascii="Times New Roman" w:hAnsi="Times New Roman" w:cs="Times New Roman"/>
          <w:sz w:val="26"/>
          <w:szCs w:val="26"/>
        </w:rPr>
        <w:t xml:space="preserve"> under the PPA</w:t>
      </w:r>
      <w:r w:rsidR="004F2ADF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4100E77" w14:textId="6EE7A160" w:rsidR="00006072" w:rsidRDefault="00837527" w:rsidP="000060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If a GC has a claim for offset or some other contractual remedy to assert against an ROC claim for non-payment, the GC should probably bring </w:t>
      </w:r>
      <w:r w:rsidR="00037259">
        <w:rPr>
          <w:rFonts w:ascii="Times New Roman" w:hAnsi="Times New Roman" w:cs="Times New Roman"/>
          <w:sz w:val="26"/>
          <w:szCs w:val="26"/>
        </w:rPr>
        <w:t>an action in superior court asserting the claims and then move to stay the ROC action pending outcome in superior court.</w:t>
      </w:r>
    </w:p>
    <w:p w14:paraId="4726C601" w14:textId="53D609E9" w:rsidR="00006072" w:rsidRDefault="00006072" w:rsidP="00006072">
      <w:pPr>
        <w:rPr>
          <w:rFonts w:ascii="Times New Roman" w:hAnsi="Times New Roman" w:cs="Times New Roman"/>
          <w:sz w:val="26"/>
          <w:szCs w:val="26"/>
        </w:rPr>
      </w:pPr>
    </w:p>
    <w:p w14:paraId="55470A75" w14:textId="538A36C3" w:rsidR="00006072" w:rsidRPr="00ED31DA" w:rsidRDefault="00006072" w:rsidP="0000607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ED31DA">
        <w:rPr>
          <w:rFonts w:ascii="Times New Roman" w:hAnsi="Times New Roman" w:cs="Times New Roman"/>
          <w:b/>
          <w:bCs/>
          <w:sz w:val="26"/>
          <w:szCs w:val="26"/>
          <w:u w:val="single"/>
        </w:rPr>
        <w:t>AAA FEES</w:t>
      </w:r>
    </w:p>
    <w:p w14:paraId="7863BB77" w14:textId="0926C649" w:rsidR="00006072" w:rsidRDefault="00006072" w:rsidP="0000607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Many construction contracts include a provision that the parties must use the American Arbitration Association </w:t>
      </w:r>
      <w:r w:rsidR="00297448">
        <w:rPr>
          <w:rFonts w:ascii="Times New Roman" w:hAnsi="Times New Roman" w:cs="Times New Roman"/>
          <w:sz w:val="26"/>
          <w:szCs w:val="26"/>
        </w:rPr>
        <w:t xml:space="preserve">for any mediation or binding arbitration. While AAA has some benefits (a good pool of prospective construction mediators and arbitrators) the problem with AAA is that you </w:t>
      </w:r>
      <w:proofErr w:type="gramStart"/>
      <w:r w:rsidR="00297448">
        <w:rPr>
          <w:rFonts w:ascii="Times New Roman" w:hAnsi="Times New Roman" w:cs="Times New Roman"/>
          <w:sz w:val="26"/>
          <w:szCs w:val="26"/>
        </w:rPr>
        <w:t>have to</w:t>
      </w:r>
      <w:proofErr w:type="gramEnd"/>
      <w:r w:rsidR="00297448">
        <w:rPr>
          <w:rFonts w:ascii="Times New Roman" w:hAnsi="Times New Roman" w:cs="Times New Roman"/>
          <w:sz w:val="26"/>
          <w:szCs w:val="26"/>
        </w:rPr>
        <w:t xml:space="preserve"> pay an administrative fee as well as </w:t>
      </w:r>
      <w:r w:rsidR="002D5CB3">
        <w:rPr>
          <w:rFonts w:ascii="Times New Roman" w:hAnsi="Times New Roman" w:cs="Times New Roman"/>
          <w:sz w:val="26"/>
          <w:szCs w:val="26"/>
        </w:rPr>
        <w:t>pay the mediator or arbitrator</w:t>
      </w:r>
      <w:r w:rsidR="00141EEA">
        <w:rPr>
          <w:rFonts w:ascii="Times New Roman" w:hAnsi="Times New Roman" w:cs="Times New Roman"/>
          <w:sz w:val="26"/>
          <w:szCs w:val="26"/>
        </w:rPr>
        <w:t xml:space="preserve"> for his/her time</w:t>
      </w:r>
      <w:r w:rsidR="002D5CB3">
        <w:rPr>
          <w:rFonts w:ascii="Times New Roman" w:hAnsi="Times New Roman" w:cs="Times New Roman"/>
          <w:sz w:val="26"/>
          <w:szCs w:val="26"/>
        </w:rPr>
        <w:t xml:space="preserve">. This can result in fees </w:t>
      </w:r>
      <w:r w:rsidR="00480FAE">
        <w:rPr>
          <w:rFonts w:ascii="Times New Roman" w:hAnsi="Times New Roman" w:cs="Times New Roman"/>
          <w:sz w:val="26"/>
          <w:szCs w:val="26"/>
        </w:rPr>
        <w:t xml:space="preserve">that </w:t>
      </w:r>
      <w:r w:rsidR="00141EEA">
        <w:rPr>
          <w:rFonts w:ascii="Times New Roman" w:hAnsi="Times New Roman" w:cs="Times New Roman"/>
          <w:sz w:val="26"/>
          <w:szCs w:val="26"/>
        </w:rPr>
        <w:t>are much higher than</w:t>
      </w:r>
      <w:r w:rsidR="00480FAE">
        <w:rPr>
          <w:rFonts w:ascii="Times New Roman" w:hAnsi="Times New Roman" w:cs="Times New Roman"/>
          <w:sz w:val="26"/>
          <w:szCs w:val="26"/>
        </w:rPr>
        <w:t xml:space="preserve"> what you </w:t>
      </w:r>
      <w:r w:rsidR="00124CA8">
        <w:rPr>
          <w:rFonts w:ascii="Times New Roman" w:hAnsi="Times New Roman" w:cs="Times New Roman"/>
          <w:sz w:val="26"/>
          <w:szCs w:val="26"/>
        </w:rPr>
        <w:t>might pay in standard cases.</w:t>
      </w:r>
    </w:p>
    <w:p w14:paraId="7658F583" w14:textId="08B84A72" w:rsidR="00124CA8" w:rsidRDefault="00124CA8" w:rsidP="0000607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For instance, a claim between $150,000 to $300,000 requires an initial filing fee of $2,650 and final fee of $2,000</w:t>
      </w:r>
      <w:r w:rsidR="00402006">
        <w:rPr>
          <w:rFonts w:ascii="Times New Roman" w:hAnsi="Times New Roman" w:cs="Times New Roman"/>
          <w:sz w:val="26"/>
          <w:szCs w:val="26"/>
        </w:rPr>
        <w:t xml:space="preserve"> to AAA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4129BA">
        <w:rPr>
          <w:rFonts w:ascii="Times New Roman" w:hAnsi="Times New Roman" w:cs="Times New Roman"/>
          <w:sz w:val="26"/>
          <w:szCs w:val="26"/>
        </w:rPr>
        <w:t xml:space="preserve">If a counterclaim is </w:t>
      </w:r>
      <w:proofErr w:type="gramStart"/>
      <w:r w:rsidR="004129BA">
        <w:rPr>
          <w:rFonts w:ascii="Times New Roman" w:hAnsi="Times New Roman" w:cs="Times New Roman"/>
          <w:sz w:val="26"/>
          <w:szCs w:val="26"/>
        </w:rPr>
        <w:t>filed</w:t>
      </w:r>
      <w:proofErr w:type="gramEnd"/>
      <w:r w:rsidR="004129BA">
        <w:rPr>
          <w:rFonts w:ascii="Times New Roman" w:hAnsi="Times New Roman" w:cs="Times New Roman"/>
          <w:sz w:val="26"/>
          <w:szCs w:val="26"/>
        </w:rPr>
        <w:t xml:space="preserve"> the other party also has to pay a filing fee. AAA charges to set up conferences with the mediator</w:t>
      </w:r>
      <w:r w:rsidR="00F47758">
        <w:rPr>
          <w:rFonts w:ascii="Times New Roman" w:hAnsi="Times New Roman" w:cs="Times New Roman"/>
          <w:sz w:val="26"/>
          <w:szCs w:val="26"/>
        </w:rPr>
        <w:t>/</w:t>
      </w:r>
      <w:r w:rsidR="004129BA">
        <w:rPr>
          <w:rFonts w:ascii="Times New Roman" w:hAnsi="Times New Roman" w:cs="Times New Roman"/>
          <w:sz w:val="26"/>
          <w:szCs w:val="26"/>
        </w:rPr>
        <w:t>arbitrator</w:t>
      </w:r>
      <w:r w:rsidR="00402006">
        <w:rPr>
          <w:rFonts w:ascii="Times New Roman" w:hAnsi="Times New Roman" w:cs="Times New Roman"/>
          <w:sz w:val="26"/>
          <w:szCs w:val="26"/>
        </w:rPr>
        <w:t>, generate letters confirming the conference and the discussion,</w:t>
      </w:r>
      <w:r w:rsidR="004129BA">
        <w:rPr>
          <w:rFonts w:ascii="Times New Roman" w:hAnsi="Times New Roman" w:cs="Times New Roman"/>
          <w:sz w:val="26"/>
          <w:szCs w:val="26"/>
        </w:rPr>
        <w:t xml:space="preserve"> and the parties also </w:t>
      </w:r>
      <w:proofErr w:type="gramStart"/>
      <w:r w:rsidR="004129BA">
        <w:rPr>
          <w:rFonts w:ascii="Times New Roman" w:hAnsi="Times New Roman" w:cs="Times New Roman"/>
          <w:sz w:val="26"/>
          <w:szCs w:val="26"/>
        </w:rPr>
        <w:t>have to</w:t>
      </w:r>
      <w:proofErr w:type="gramEnd"/>
      <w:r w:rsidR="004129BA">
        <w:rPr>
          <w:rFonts w:ascii="Times New Roman" w:hAnsi="Times New Roman" w:cs="Times New Roman"/>
          <w:sz w:val="26"/>
          <w:szCs w:val="26"/>
        </w:rPr>
        <w:t xml:space="preserve"> pay the mediator/arbitrato</w:t>
      </w:r>
      <w:r w:rsidR="00F47758">
        <w:rPr>
          <w:rFonts w:ascii="Times New Roman" w:hAnsi="Times New Roman" w:cs="Times New Roman"/>
          <w:sz w:val="26"/>
          <w:szCs w:val="26"/>
        </w:rPr>
        <w:t>r</w:t>
      </w:r>
      <w:r w:rsidR="004129BA">
        <w:rPr>
          <w:rFonts w:ascii="Times New Roman" w:hAnsi="Times New Roman" w:cs="Times New Roman"/>
          <w:sz w:val="26"/>
          <w:szCs w:val="26"/>
        </w:rPr>
        <w:t xml:space="preserve">. </w:t>
      </w:r>
      <w:r w:rsidR="004C2122">
        <w:rPr>
          <w:rFonts w:ascii="Times New Roman" w:hAnsi="Times New Roman" w:cs="Times New Roman"/>
          <w:sz w:val="26"/>
          <w:szCs w:val="26"/>
        </w:rPr>
        <w:t>On a recent case involving a claim of $100,000 the parties received a statement from AAA for over $11,000 for the AAA and arbitrator’s fees/costs</w:t>
      </w:r>
      <w:r w:rsidR="00AF51B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C7B17FC" w14:textId="7E76A063" w:rsidR="00F47758" w:rsidRPr="00006072" w:rsidRDefault="00F47758" w:rsidP="0000607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 recommend to my clients that they </w:t>
      </w:r>
      <w:proofErr w:type="gramStart"/>
      <w:r>
        <w:rPr>
          <w:rFonts w:ascii="Times New Roman" w:hAnsi="Times New Roman" w:cs="Times New Roman"/>
          <w:sz w:val="26"/>
          <w:szCs w:val="26"/>
        </w:rPr>
        <w:t>don’t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use AAA in their contracts and instead agree to mediate privately and</w:t>
      </w:r>
      <w:r w:rsidR="00E51B85">
        <w:rPr>
          <w:rFonts w:ascii="Times New Roman" w:hAnsi="Times New Roman" w:cs="Times New Roman"/>
          <w:sz w:val="26"/>
          <w:szCs w:val="26"/>
        </w:rPr>
        <w:t xml:space="preserve">/or </w:t>
      </w:r>
      <w:r>
        <w:rPr>
          <w:rFonts w:ascii="Times New Roman" w:hAnsi="Times New Roman" w:cs="Times New Roman"/>
          <w:sz w:val="26"/>
          <w:szCs w:val="26"/>
        </w:rPr>
        <w:t xml:space="preserve">to submit disputes to binding arbitration under the Arizona Revised Uniform Arbitration Act, A.R.S. Section 12-3001 et seq. </w:t>
      </w:r>
      <w:r w:rsidR="003E4DD2">
        <w:rPr>
          <w:rFonts w:ascii="Times New Roman" w:hAnsi="Times New Roman" w:cs="Times New Roman"/>
          <w:sz w:val="26"/>
          <w:szCs w:val="26"/>
        </w:rPr>
        <w:t xml:space="preserve">The parties can choose their own arbitrator and avoid paying AAA to administer the case. </w:t>
      </w:r>
    </w:p>
    <w:sectPr w:rsidR="00F47758" w:rsidRPr="000060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894C2F" w14:textId="77777777" w:rsidR="00213776" w:rsidRDefault="00213776" w:rsidP="00213776">
      <w:pPr>
        <w:spacing w:after="0" w:line="240" w:lineRule="auto"/>
      </w:pPr>
      <w:r>
        <w:separator/>
      </w:r>
    </w:p>
  </w:endnote>
  <w:endnote w:type="continuationSeparator" w:id="0">
    <w:p w14:paraId="0FD89F7E" w14:textId="77777777" w:rsidR="00213776" w:rsidRDefault="00213776" w:rsidP="00213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DE6B47" w14:textId="77777777" w:rsidR="00213776" w:rsidRDefault="002137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5AFED6" w14:textId="314A0333" w:rsidR="00213776" w:rsidRPr="00213776" w:rsidRDefault="00213776" w:rsidP="00213776">
    <w:pPr>
      <w:pStyle w:val="Footer"/>
    </w:pPr>
    <w:r w:rsidRPr="00213776">
      <w:rPr>
        <w:noProof/>
        <w:vanish/>
        <w:sz w:val="16"/>
      </w:rPr>
      <w:t>{</w:t>
    </w:r>
    <w:r w:rsidRPr="00213776">
      <w:rPr>
        <w:noProof/>
        <w:sz w:val="16"/>
      </w:rPr>
      <w:t>00790071.1</w:t>
    </w:r>
    <w:r w:rsidRPr="00213776">
      <w:rPr>
        <w:noProof/>
        <w:vanish/>
        <w:sz w:val="16"/>
      </w:rPr>
      <w:t>}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4ECF44" w14:textId="77777777" w:rsidR="00213776" w:rsidRDefault="002137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08A241" w14:textId="77777777" w:rsidR="00213776" w:rsidRDefault="00213776" w:rsidP="00213776">
      <w:pPr>
        <w:spacing w:after="0" w:line="240" w:lineRule="auto"/>
      </w:pPr>
      <w:r>
        <w:separator/>
      </w:r>
    </w:p>
  </w:footnote>
  <w:footnote w:type="continuationSeparator" w:id="0">
    <w:p w14:paraId="12373424" w14:textId="77777777" w:rsidR="00213776" w:rsidRDefault="00213776" w:rsidP="00213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9C67C" w14:textId="77777777" w:rsidR="00213776" w:rsidRDefault="002137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267C21" w14:textId="77777777" w:rsidR="00213776" w:rsidRDefault="002137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15236D" w14:textId="77777777" w:rsidR="00213776" w:rsidRDefault="002137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57E64"/>
    <w:multiLevelType w:val="hybridMultilevel"/>
    <w:tmpl w:val="A82E921A"/>
    <w:lvl w:ilvl="0" w:tplc="F26EEB12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526E5"/>
    <w:multiLevelType w:val="hybridMultilevel"/>
    <w:tmpl w:val="1FDA3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D729E9"/>
    <w:multiLevelType w:val="hybridMultilevel"/>
    <w:tmpl w:val="BB16C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60392B"/>
    <w:multiLevelType w:val="hybridMultilevel"/>
    <w:tmpl w:val="27A8D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CE7"/>
    <w:rsid w:val="00006072"/>
    <w:rsid w:val="00037259"/>
    <w:rsid w:val="00095339"/>
    <w:rsid w:val="00101E43"/>
    <w:rsid w:val="00124CA8"/>
    <w:rsid w:val="00141EEA"/>
    <w:rsid w:val="00213776"/>
    <w:rsid w:val="00231DF8"/>
    <w:rsid w:val="00297448"/>
    <w:rsid w:val="002D5CB3"/>
    <w:rsid w:val="003E4DD2"/>
    <w:rsid w:val="00402006"/>
    <w:rsid w:val="004129BA"/>
    <w:rsid w:val="004502DD"/>
    <w:rsid w:val="00480FAE"/>
    <w:rsid w:val="004C2122"/>
    <w:rsid w:val="004E23F4"/>
    <w:rsid w:val="004F2ADF"/>
    <w:rsid w:val="00540A50"/>
    <w:rsid w:val="00597BED"/>
    <w:rsid w:val="006334FD"/>
    <w:rsid w:val="006E1E3A"/>
    <w:rsid w:val="00780FE5"/>
    <w:rsid w:val="007B0549"/>
    <w:rsid w:val="00837527"/>
    <w:rsid w:val="00871153"/>
    <w:rsid w:val="008D6B31"/>
    <w:rsid w:val="00955CE7"/>
    <w:rsid w:val="00971092"/>
    <w:rsid w:val="0099083D"/>
    <w:rsid w:val="00AD3200"/>
    <w:rsid w:val="00AF51B5"/>
    <w:rsid w:val="00B46C4C"/>
    <w:rsid w:val="00BD2A75"/>
    <w:rsid w:val="00C153D8"/>
    <w:rsid w:val="00C33F82"/>
    <w:rsid w:val="00C80EE3"/>
    <w:rsid w:val="00CC2C31"/>
    <w:rsid w:val="00CF0B45"/>
    <w:rsid w:val="00CF1170"/>
    <w:rsid w:val="00D87900"/>
    <w:rsid w:val="00DD13F1"/>
    <w:rsid w:val="00DD3C1A"/>
    <w:rsid w:val="00E51B85"/>
    <w:rsid w:val="00EA4FF2"/>
    <w:rsid w:val="00EB0BD2"/>
    <w:rsid w:val="00ED31DA"/>
    <w:rsid w:val="00F4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0B8C8"/>
  <w15:chartTrackingRefBased/>
  <w15:docId w15:val="{F35B1EBF-D580-40AB-83D8-39DC627D0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D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3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776"/>
  </w:style>
  <w:style w:type="paragraph" w:styleId="Footer">
    <w:name w:val="footer"/>
    <w:basedOn w:val="Normal"/>
    <w:link w:val="FooterChar"/>
    <w:uiPriority w:val="99"/>
    <w:unhideWhenUsed/>
    <w:rsid w:val="00213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683</Words>
  <Characters>3352</Characters>
  <Application>Microsoft Office Word</Application>
  <DocSecurity>0</DocSecurity>
  <PresentationFormat>15|.DOCX</PresentationFormat>
  <Lines>60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00790071.1</dc:subject>
  <dc:creator>Neal Eckel</dc:creator>
  <cp:keywords/>
  <dc:description/>
  <cp:lastModifiedBy>Neal Eckel</cp:lastModifiedBy>
  <cp:revision>5</cp:revision>
  <cp:lastPrinted>2021-03-05T19:14:00Z</cp:lastPrinted>
  <dcterms:created xsi:type="dcterms:W3CDTF">2021-03-05T17:26:00Z</dcterms:created>
  <dcterms:modified xsi:type="dcterms:W3CDTF">2021-03-08T16:13:00Z</dcterms:modified>
</cp:coreProperties>
</file>